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D950" w14:textId="58DAB65E" w:rsidR="003C710A" w:rsidRPr="004A61C3" w:rsidRDefault="00D60658" w:rsidP="00890731">
      <w:pPr>
        <w:shd w:val="clear" w:color="auto" w:fill="FFFFFF"/>
        <w:spacing w:before="240" w:after="0" w:line="240" w:lineRule="auto"/>
        <w:jc w:val="center"/>
        <w:textAlignment w:val="baseline"/>
        <w:rPr>
          <w:rFonts w:ascii="Open Sans" w:eastAsia="Times New Roman" w:hAnsi="Open Sans" w:cs="Open Sans"/>
          <w:b/>
          <w:color w:val="47A5AE"/>
          <w:sz w:val="36"/>
          <w:szCs w:val="36"/>
          <w:lang w:val="en-GB"/>
        </w:rPr>
      </w:pPr>
      <w:r w:rsidRPr="004A61C3">
        <w:rPr>
          <w:rFonts w:ascii="Open Sans" w:eastAsia="Times New Roman" w:hAnsi="Open Sans" w:cs="Open Sans"/>
          <w:b/>
          <w:color w:val="003B63"/>
          <w:sz w:val="36"/>
          <w:szCs w:val="36"/>
          <w:lang w:val="en-GB"/>
        </w:rPr>
        <w:t xml:space="preserve">Steel Book and Claim </w:t>
      </w:r>
      <w:r w:rsidR="00153E06" w:rsidRPr="004A61C3">
        <w:rPr>
          <w:rFonts w:ascii="Open Sans" w:eastAsia="Times New Roman" w:hAnsi="Open Sans" w:cs="Open Sans"/>
          <w:b/>
          <w:color w:val="003B63"/>
          <w:sz w:val="36"/>
          <w:szCs w:val="36"/>
          <w:lang w:eastAsia="zh-CN"/>
        </w:rPr>
        <w:t>Framework</w:t>
      </w:r>
      <w:r w:rsidRPr="004A61C3">
        <w:rPr>
          <w:rFonts w:ascii="Open Sans" w:eastAsia="Times New Roman" w:hAnsi="Open Sans" w:cs="Open Sans" w:hint="eastAsia"/>
          <w:b/>
          <w:color w:val="003B63"/>
          <w:sz w:val="36"/>
          <w:szCs w:val="36"/>
          <w:lang w:val="en-GB" w:eastAsia="zh-CN"/>
        </w:rPr>
        <w:t xml:space="preserve"> </w:t>
      </w:r>
      <w:r w:rsidR="00E012FF" w:rsidRPr="004A61C3">
        <w:rPr>
          <w:rFonts w:ascii="Open Sans" w:eastAsia="Times New Roman" w:hAnsi="Open Sans" w:cs="Open Sans"/>
          <w:b/>
          <w:color w:val="003B63"/>
          <w:sz w:val="36"/>
          <w:szCs w:val="36"/>
          <w:lang w:val="en-GB"/>
        </w:rPr>
        <w:t>Public Consultation</w:t>
      </w:r>
    </w:p>
    <w:p w14:paraId="71EB92CD" w14:textId="7AB6B699" w:rsidR="001709FC" w:rsidRPr="004A61C3" w:rsidRDefault="001709FC" w:rsidP="00E012FF">
      <w:pPr>
        <w:shd w:val="clear" w:color="auto" w:fill="FFFFFF"/>
        <w:spacing w:line="240" w:lineRule="auto"/>
        <w:ind w:left="555" w:hanging="555"/>
        <w:jc w:val="center"/>
        <w:textAlignment w:val="baseline"/>
        <w:rPr>
          <w:rFonts w:ascii="Open Sans" w:eastAsia="Times New Roman" w:hAnsi="Open Sans" w:cs="Open Sans"/>
          <w:b/>
          <w:sz w:val="18"/>
          <w:szCs w:val="18"/>
        </w:rPr>
      </w:pPr>
      <w:r w:rsidRPr="004A61C3">
        <w:rPr>
          <w:rFonts w:ascii="Open Sans" w:eastAsia="Times New Roman" w:hAnsi="Open Sans" w:cs="Open Sans"/>
          <w:b/>
          <w:color w:val="47A5AE"/>
          <w:lang w:val="en-GB"/>
        </w:rPr>
        <w:t>TEMPLATE FOR COMMENTS AND STAKEHOLDER OBSERVATIONS</w:t>
      </w:r>
    </w:p>
    <w:p w14:paraId="29C24465" w14:textId="739F3BB3" w:rsidR="00A26E18" w:rsidRPr="00711CA4" w:rsidRDefault="4AC05DB5" w:rsidP="00AE2C1A">
      <w:pPr>
        <w:spacing w:line="240" w:lineRule="auto"/>
        <w:textAlignment w:val="baseline"/>
        <w:rPr>
          <w:rFonts w:ascii="Open Sans" w:eastAsia="Times New Roman" w:hAnsi="Open Sans" w:cs="Open Sans"/>
          <w:sz w:val="20"/>
          <w:szCs w:val="20"/>
        </w:rPr>
      </w:pPr>
      <w:r w:rsidRPr="00711CA4">
        <w:rPr>
          <w:rFonts w:ascii="Open Sans" w:eastAsia="Calibri" w:hAnsi="Open Sans" w:cs="Open Sans"/>
          <w:color w:val="000000" w:themeColor="text1"/>
          <w:sz w:val="20"/>
          <w:szCs w:val="20"/>
        </w:rPr>
        <w:t xml:space="preserve">Thank you for participating in the public consultation for </w:t>
      </w:r>
      <w:r w:rsidR="007144B7" w:rsidRPr="00711CA4">
        <w:rPr>
          <w:rFonts w:ascii="Open Sans" w:hAnsi="Open Sans" w:cs="Open Sans"/>
          <w:sz w:val="20"/>
          <w:szCs w:val="20"/>
        </w:rPr>
        <w:t>RMI’s</w:t>
      </w:r>
      <w:r w:rsidR="006E7C43" w:rsidRPr="00711CA4">
        <w:rPr>
          <w:rFonts w:ascii="Open Sans" w:hAnsi="Open Sans" w:cs="Open Sans"/>
          <w:sz w:val="20"/>
          <w:szCs w:val="20"/>
        </w:rPr>
        <w:t xml:space="preserve"> </w:t>
      </w:r>
      <w:r w:rsidR="006E7C43" w:rsidRPr="00711CA4">
        <w:rPr>
          <w:rFonts w:ascii="Open Sans" w:hAnsi="Open Sans" w:cs="Open Sans"/>
          <w:b/>
          <w:bCs/>
          <w:sz w:val="20"/>
          <w:szCs w:val="20"/>
        </w:rPr>
        <w:t xml:space="preserve">Steel Book and Claim </w:t>
      </w:r>
      <w:r w:rsidR="00272FBA" w:rsidRPr="00711CA4">
        <w:rPr>
          <w:rFonts w:ascii="Open Sans" w:hAnsi="Open Sans" w:cs="Open Sans"/>
          <w:b/>
          <w:bCs/>
          <w:sz w:val="20"/>
          <w:szCs w:val="20"/>
        </w:rPr>
        <w:t>Framework</w:t>
      </w:r>
      <w:r w:rsidRPr="00711CA4">
        <w:rPr>
          <w:rFonts w:ascii="Open Sans" w:hAnsi="Open Sans" w:cs="Open Sans"/>
          <w:sz w:val="20"/>
          <w:szCs w:val="20"/>
        </w:rPr>
        <w:t>.</w:t>
      </w:r>
      <w:r w:rsidRPr="00711CA4">
        <w:rPr>
          <w:rFonts w:ascii="Open Sans" w:eastAsia="Calibri" w:hAnsi="Open Sans" w:cs="Open Sans"/>
          <w:color w:val="000000" w:themeColor="text1"/>
          <w:sz w:val="20"/>
          <w:szCs w:val="20"/>
        </w:rPr>
        <w:t xml:space="preserve"> We value your input! Please review </w:t>
      </w:r>
      <w:r w:rsidR="22B3AC35" w:rsidRPr="00711CA4">
        <w:rPr>
          <w:rFonts w:ascii="Open Sans" w:eastAsia="Calibri" w:hAnsi="Open Sans" w:cs="Open Sans"/>
          <w:color w:val="000000" w:themeColor="text1"/>
          <w:sz w:val="20"/>
          <w:szCs w:val="20"/>
        </w:rPr>
        <w:t>the guidance</w:t>
      </w:r>
      <w:r w:rsidRPr="00711CA4">
        <w:rPr>
          <w:rFonts w:ascii="Open Sans" w:eastAsia="Calibri" w:hAnsi="Open Sans" w:cs="Open Sans"/>
          <w:color w:val="000000" w:themeColor="text1"/>
          <w:sz w:val="20"/>
          <w:szCs w:val="20"/>
        </w:rPr>
        <w:t xml:space="preserve"> in its entirety prior to providing a response.</w:t>
      </w:r>
      <w:r w:rsidR="1F7A8BB6" w:rsidRPr="00711CA4">
        <w:rPr>
          <w:rFonts w:ascii="Open Sans" w:eastAsia="Calibri" w:hAnsi="Open Sans" w:cs="Open Sans"/>
          <w:color w:val="000000" w:themeColor="text1"/>
          <w:sz w:val="20"/>
          <w:szCs w:val="20"/>
        </w:rPr>
        <w:t xml:space="preserve"> To submit comments, please send this completed document to </w:t>
      </w:r>
      <w:r w:rsidR="00C81484" w:rsidRPr="00711CA4">
        <w:rPr>
          <w:rFonts w:ascii="Open Sans" w:eastAsia="Calibri" w:hAnsi="Open Sans" w:cs="Open Sans"/>
          <w:color w:val="000000" w:themeColor="text1"/>
          <w:sz w:val="20"/>
          <w:szCs w:val="20"/>
        </w:rPr>
        <w:t>Iris Wu</w:t>
      </w:r>
      <w:r w:rsidR="0044199E" w:rsidRPr="00711CA4">
        <w:rPr>
          <w:rFonts w:ascii="Open Sans" w:eastAsia="Calibri" w:hAnsi="Open Sans" w:cs="Open Sans"/>
          <w:color w:val="000000" w:themeColor="text1"/>
          <w:sz w:val="20"/>
          <w:szCs w:val="20"/>
        </w:rPr>
        <w:t xml:space="preserve"> </w:t>
      </w:r>
      <w:r w:rsidR="007B7945" w:rsidRPr="00711CA4">
        <w:rPr>
          <w:rFonts w:ascii="Open Sans" w:eastAsia="Calibri" w:hAnsi="Open Sans" w:cs="Open Sans"/>
          <w:color w:val="000000" w:themeColor="text1"/>
          <w:sz w:val="20"/>
          <w:szCs w:val="20"/>
        </w:rPr>
        <w:t>(</w:t>
      </w:r>
      <w:hyperlink r:id="rId10" w:history="1">
        <w:r w:rsidR="00E34D5F" w:rsidRPr="00711CA4">
          <w:rPr>
            <w:rStyle w:val="Hyperlink"/>
            <w:rFonts w:ascii="Open Sans" w:eastAsia="Calibri" w:hAnsi="Open Sans" w:cs="Open Sans"/>
            <w:sz w:val="20"/>
            <w:szCs w:val="20"/>
          </w:rPr>
          <w:t>iwu@rmi.org</w:t>
        </w:r>
      </w:hyperlink>
      <w:r w:rsidR="00E34D5F" w:rsidRPr="00711CA4">
        <w:rPr>
          <w:rFonts w:ascii="Open Sans" w:eastAsia="Calibri" w:hAnsi="Open Sans" w:cs="Open Sans"/>
          <w:color w:val="000000" w:themeColor="text1"/>
          <w:sz w:val="20"/>
          <w:szCs w:val="20"/>
        </w:rPr>
        <w:t>)</w:t>
      </w:r>
      <w:r w:rsidR="00835FD7" w:rsidRPr="00711CA4">
        <w:rPr>
          <w:rFonts w:ascii="Open Sans" w:eastAsia="Calibri" w:hAnsi="Open Sans" w:cs="Open Sans"/>
          <w:color w:val="000000" w:themeColor="text1"/>
          <w:sz w:val="20"/>
          <w:szCs w:val="20"/>
        </w:rPr>
        <w:t>.</w:t>
      </w:r>
      <w:r w:rsidR="00E34D5F" w:rsidRPr="00711CA4">
        <w:rPr>
          <w:rFonts w:ascii="Open Sans" w:eastAsia="Calibri" w:hAnsi="Open Sans" w:cs="Open Sans"/>
          <w:color w:val="000000" w:themeColor="text1"/>
          <w:sz w:val="20"/>
          <w:szCs w:val="20"/>
        </w:rPr>
        <w:t xml:space="preserve"> </w:t>
      </w:r>
      <w:r w:rsidR="1F7A8BB6" w:rsidRPr="00711CA4">
        <w:rPr>
          <w:rFonts w:ascii="Open Sans" w:eastAsia="Calibri" w:hAnsi="Open Sans" w:cs="Open Sans"/>
          <w:color w:val="000000" w:themeColor="text1"/>
          <w:sz w:val="20"/>
          <w:szCs w:val="20"/>
        </w:rPr>
        <w:t xml:space="preserve">Responses will be accepted through </w:t>
      </w:r>
      <w:r w:rsidR="00E31EFC" w:rsidRPr="00711CA4">
        <w:rPr>
          <w:rFonts w:ascii="Open Sans" w:eastAsia="Calibri" w:hAnsi="Open Sans" w:cs="Open Sans"/>
          <w:b/>
          <w:color w:val="000000" w:themeColor="text1"/>
          <w:sz w:val="20"/>
          <w:szCs w:val="20"/>
        </w:rPr>
        <w:t>Apr 30</w:t>
      </w:r>
      <w:r w:rsidR="1F7A8BB6" w:rsidRPr="00711CA4">
        <w:rPr>
          <w:rFonts w:ascii="Open Sans" w:eastAsia="Calibri" w:hAnsi="Open Sans" w:cs="Open Sans"/>
          <w:b/>
          <w:color w:val="000000" w:themeColor="text1"/>
          <w:sz w:val="20"/>
          <w:szCs w:val="20"/>
        </w:rPr>
        <w:t>, 202</w:t>
      </w:r>
      <w:r w:rsidR="00881F51" w:rsidRPr="00711CA4">
        <w:rPr>
          <w:rFonts w:ascii="Open Sans" w:eastAsia="Calibri" w:hAnsi="Open Sans" w:cs="Open Sans"/>
          <w:b/>
          <w:color w:val="000000" w:themeColor="text1"/>
          <w:sz w:val="20"/>
          <w:szCs w:val="20"/>
        </w:rPr>
        <w:t>6</w:t>
      </w:r>
      <w:r w:rsidR="1F7A8BB6" w:rsidRPr="00711CA4">
        <w:rPr>
          <w:rFonts w:ascii="Open Sans" w:eastAsia="Calibri" w:hAnsi="Open Sans" w:cs="Open Sans"/>
          <w:color w:val="000000" w:themeColor="text1"/>
          <w:sz w:val="20"/>
          <w:szCs w:val="20"/>
        </w:rPr>
        <w:t>.</w:t>
      </w:r>
    </w:p>
    <w:p w14:paraId="23846FEA" w14:textId="0F69EE1E" w:rsidR="003D409A" w:rsidRPr="00711CA4" w:rsidRDefault="4DECB817" w:rsidP="00AE2C1A">
      <w:pPr>
        <w:spacing w:line="240" w:lineRule="auto"/>
        <w:textAlignment w:val="baseline"/>
        <w:rPr>
          <w:rFonts w:ascii="Open Sans" w:eastAsia="Calibri" w:hAnsi="Open Sans" w:cs="Open Sans"/>
          <w:color w:val="000000" w:themeColor="text1"/>
          <w:sz w:val="20"/>
          <w:szCs w:val="20"/>
        </w:rPr>
      </w:pPr>
      <w:r w:rsidRPr="00711CA4">
        <w:rPr>
          <w:rFonts w:ascii="Open Sans" w:eastAsia="Calibri" w:hAnsi="Open Sans" w:cs="Open Sans"/>
          <w:color w:val="000000" w:themeColor="text1"/>
          <w:sz w:val="20"/>
          <w:szCs w:val="20"/>
        </w:rPr>
        <w:t>The</w:t>
      </w:r>
      <w:r w:rsidR="72E3DEC8" w:rsidRPr="00711CA4">
        <w:rPr>
          <w:rFonts w:ascii="Open Sans" w:eastAsia="Calibri" w:hAnsi="Open Sans" w:cs="Open Sans"/>
          <w:color w:val="000000" w:themeColor="text1"/>
          <w:sz w:val="20"/>
          <w:szCs w:val="20"/>
        </w:rPr>
        <w:t xml:space="preserve"> below</w:t>
      </w:r>
      <w:r w:rsidRPr="00711CA4">
        <w:rPr>
          <w:rFonts w:ascii="Open Sans" w:eastAsia="Calibri" w:hAnsi="Open Sans" w:cs="Open Sans"/>
          <w:color w:val="000000" w:themeColor="text1"/>
          <w:sz w:val="20"/>
          <w:szCs w:val="20"/>
        </w:rPr>
        <w:t xml:space="preserve"> questions are focused on </w:t>
      </w:r>
      <w:r w:rsidR="00BF2D0B" w:rsidRPr="00711CA4">
        <w:rPr>
          <w:rFonts w:ascii="Open Sans" w:eastAsia="Calibri" w:hAnsi="Open Sans" w:cs="Open Sans"/>
          <w:color w:val="000000" w:themeColor="text1"/>
          <w:sz w:val="20"/>
          <w:szCs w:val="20"/>
        </w:rPr>
        <w:t xml:space="preserve">critical </w:t>
      </w:r>
      <w:r w:rsidRPr="00711CA4">
        <w:rPr>
          <w:rFonts w:ascii="Open Sans" w:eastAsia="Calibri" w:hAnsi="Open Sans" w:cs="Open Sans"/>
          <w:color w:val="000000" w:themeColor="text1"/>
          <w:sz w:val="20"/>
          <w:szCs w:val="20"/>
        </w:rPr>
        <w:t xml:space="preserve">topics where </w:t>
      </w:r>
      <w:r w:rsidR="000228F3" w:rsidRPr="00711CA4">
        <w:rPr>
          <w:rFonts w:ascii="Open Sans" w:eastAsia="Calibri" w:hAnsi="Open Sans" w:cs="Open Sans"/>
          <w:color w:val="000000" w:themeColor="text1"/>
          <w:sz w:val="20"/>
          <w:szCs w:val="20"/>
        </w:rPr>
        <w:t>we need your input most</w:t>
      </w:r>
      <w:r w:rsidRPr="00711CA4">
        <w:rPr>
          <w:rFonts w:ascii="Open Sans" w:eastAsia="Calibri" w:hAnsi="Open Sans" w:cs="Open Sans"/>
          <w:color w:val="000000" w:themeColor="text1"/>
          <w:sz w:val="20"/>
          <w:szCs w:val="20"/>
        </w:rPr>
        <w:t xml:space="preserve">. </w:t>
      </w:r>
      <w:r w:rsidR="41299133" w:rsidRPr="00711CA4">
        <w:rPr>
          <w:rFonts w:ascii="Open Sans" w:eastAsia="Calibri" w:hAnsi="Open Sans" w:cs="Open Sans"/>
          <w:color w:val="000000" w:themeColor="text1"/>
          <w:sz w:val="20"/>
          <w:szCs w:val="20"/>
        </w:rPr>
        <w:t xml:space="preserve">In addition to answering the questions, </w:t>
      </w:r>
      <w:r w:rsidR="007D6368" w:rsidRPr="00711CA4">
        <w:rPr>
          <w:rFonts w:ascii="Open Sans" w:eastAsia="Calibri" w:hAnsi="Open Sans" w:cs="Open Sans"/>
          <w:color w:val="000000" w:themeColor="text1"/>
          <w:sz w:val="20"/>
          <w:szCs w:val="20"/>
        </w:rPr>
        <w:t>you may also provide line-by-line additional comments in the table below</w:t>
      </w:r>
      <w:r w:rsidR="41299133" w:rsidRPr="00711CA4">
        <w:rPr>
          <w:rFonts w:ascii="Open Sans" w:eastAsia="Calibri" w:hAnsi="Open Sans" w:cs="Open Sans"/>
          <w:color w:val="000000" w:themeColor="text1"/>
          <w:sz w:val="20"/>
          <w:szCs w:val="20"/>
        </w:rPr>
        <w:t xml:space="preserve">. </w:t>
      </w:r>
      <w:r w:rsidRPr="00711CA4">
        <w:rPr>
          <w:rFonts w:ascii="Open Sans" w:eastAsia="Calibri" w:hAnsi="Open Sans" w:cs="Open Sans"/>
          <w:color w:val="000000" w:themeColor="text1"/>
          <w:sz w:val="20"/>
          <w:szCs w:val="20"/>
        </w:rPr>
        <w:t>Your detailed responses will be reviewed by RMI. Aggregate results that do not include any personal identifying information may be communicated publicly.</w:t>
      </w:r>
    </w:p>
    <w:p w14:paraId="414F01A6" w14:textId="5609FC2E" w:rsidR="001709FC" w:rsidRPr="00711CA4" w:rsidRDefault="001709FC" w:rsidP="00AE2C1A">
      <w:pPr>
        <w:shd w:val="clear" w:color="auto" w:fill="FFFFFF"/>
        <w:spacing w:line="240" w:lineRule="auto"/>
        <w:ind w:left="555" w:hanging="555"/>
        <w:textAlignment w:val="baseline"/>
        <w:rPr>
          <w:rFonts w:ascii="Open Sans" w:eastAsia="Times New Roman" w:hAnsi="Open Sans" w:cs="Open Sans"/>
          <w:b/>
        </w:rPr>
      </w:pPr>
      <w:r w:rsidRPr="00711CA4">
        <w:rPr>
          <w:rFonts w:ascii="Open Sans" w:eastAsia="Times New Roman" w:hAnsi="Open Sans" w:cs="Open Sans"/>
          <w:b/>
          <w:color w:val="595959"/>
          <w:u w:val="single"/>
          <w:lang w:val="en-GB"/>
        </w:rPr>
        <w:t>Your Information</w:t>
      </w:r>
      <w:r w:rsidRPr="00711CA4">
        <w:rPr>
          <w:rFonts w:ascii="Open Sans" w:eastAsia="Times New Roman" w:hAnsi="Open Sans" w:cs="Open Sans"/>
          <w:b/>
          <w:color w:val="595959"/>
        </w:rPr>
        <w:t> </w:t>
      </w:r>
    </w:p>
    <w:tbl>
      <w:tblPr>
        <w:tblW w:w="0"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firstRow="1" w:lastRow="0" w:firstColumn="1" w:lastColumn="0" w:noHBand="0" w:noVBand="1"/>
      </w:tblPr>
      <w:tblGrid>
        <w:gridCol w:w="1740"/>
        <w:gridCol w:w="2088"/>
        <w:gridCol w:w="2601"/>
        <w:gridCol w:w="3774"/>
        <w:gridCol w:w="2741"/>
      </w:tblGrid>
      <w:tr w:rsidR="001709FC" w:rsidRPr="001709FC" w14:paraId="6C1F2671" w14:textId="77777777" w:rsidTr="00711CA4">
        <w:trPr>
          <w:trHeight w:val="432"/>
        </w:trPr>
        <w:tc>
          <w:tcPr>
            <w:tcW w:w="201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31A31749" w14:textId="2AA1FA02" w:rsidR="001709FC" w:rsidRPr="00711CA4" w:rsidRDefault="001709FC" w:rsidP="00AE2C1A">
            <w:pPr>
              <w:spacing w:after="0" w:line="240" w:lineRule="auto"/>
              <w:textAlignment w:val="baseline"/>
              <w:rPr>
                <w:rFonts w:ascii="Open Sans" w:eastAsia="Times New Roman" w:hAnsi="Open Sans" w:cs="Open Sans"/>
                <w:sz w:val="20"/>
                <w:szCs w:val="20"/>
              </w:rPr>
            </w:pPr>
            <w:r w:rsidRPr="00711CA4">
              <w:rPr>
                <w:rFonts w:ascii="Open Sans" w:eastAsia="Times New Roman" w:hAnsi="Open Sans" w:cs="Open Sans"/>
                <w:b/>
                <w:color w:val="595959"/>
                <w:sz w:val="20"/>
                <w:szCs w:val="20"/>
                <w:lang w:val="en-GB"/>
              </w:rPr>
              <w:t>Name</w:t>
            </w:r>
          </w:p>
        </w:tc>
        <w:tc>
          <w:tcPr>
            <w:tcW w:w="240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058C430B" w14:textId="156A5094" w:rsidR="001709FC" w:rsidRPr="00711CA4" w:rsidRDefault="001709FC" w:rsidP="00AE2C1A">
            <w:pPr>
              <w:spacing w:after="0" w:line="240" w:lineRule="auto"/>
              <w:textAlignment w:val="baseline"/>
              <w:rPr>
                <w:rFonts w:ascii="Open Sans" w:eastAsia="Times New Roman" w:hAnsi="Open Sans" w:cs="Open Sans"/>
                <w:sz w:val="20"/>
                <w:szCs w:val="20"/>
              </w:rPr>
            </w:pPr>
            <w:r w:rsidRPr="00711CA4">
              <w:rPr>
                <w:rFonts w:ascii="Open Sans" w:eastAsia="Times New Roman" w:hAnsi="Open Sans" w:cs="Open Sans"/>
                <w:b/>
                <w:color w:val="595959"/>
                <w:sz w:val="20"/>
                <w:szCs w:val="20"/>
                <w:lang w:val="en-GB"/>
              </w:rPr>
              <w:t>Email address</w:t>
            </w:r>
          </w:p>
        </w:tc>
        <w:tc>
          <w:tcPr>
            <w:tcW w:w="315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0F4C274" w14:textId="469BE381" w:rsidR="001709FC" w:rsidRPr="00711CA4" w:rsidRDefault="001709FC" w:rsidP="00AE2C1A">
            <w:pPr>
              <w:spacing w:after="0" w:line="240" w:lineRule="auto"/>
              <w:textAlignment w:val="baseline"/>
              <w:rPr>
                <w:rFonts w:ascii="Open Sans" w:eastAsia="Times New Roman" w:hAnsi="Open Sans" w:cs="Open Sans"/>
                <w:sz w:val="20"/>
                <w:szCs w:val="20"/>
              </w:rPr>
            </w:pPr>
            <w:r w:rsidRPr="00711CA4">
              <w:rPr>
                <w:rFonts w:ascii="Open Sans" w:eastAsia="Times New Roman" w:hAnsi="Open Sans" w:cs="Open Sans"/>
                <w:b/>
                <w:color w:val="595959"/>
                <w:sz w:val="20"/>
                <w:szCs w:val="20"/>
                <w:lang w:val="en-GB"/>
              </w:rPr>
              <w:t>Job title</w:t>
            </w:r>
          </w:p>
        </w:tc>
        <w:tc>
          <w:tcPr>
            <w:tcW w:w="441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8D4C496" w14:textId="65739883" w:rsidR="001709FC" w:rsidRPr="00711CA4" w:rsidRDefault="001709FC" w:rsidP="00AE2C1A">
            <w:pPr>
              <w:spacing w:after="0" w:line="240" w:lineRule="auto"/>
              <w:textAlignment w:val="baseline"/>
              <w:rPr>
                <w:rFonts w:ascii="Open Sans" w:eastAsia="Times New Roman" w:hAnsi="Open Sans" w:cs="Open Sans"/>
                <w:sz w:val="20"/>
                <w:szCs w:val="20"/>
              </w:rPr>
            </w:pPr>
            <w:r w:rsidRPr="00711CA4">
              <w:rPr>
                <w:rFonts w:ascii="Open Sans" w:eastAsia="Times New Roman" w:hAnsi="Open Sans" w:cs="Open Sans"/>
                <w:b/>
                <w:color w:val="595959"/>
                <w:sz w:val="20"/>
                <w:szCs w:val="20"/>
                <w:lang w:val="en-GB"/>
              </w:rPr>
              <w:t>Name of organization</w:t>
            </w:r>
          </w:p>
        </w:tc>
        <w:tc>
          <w:tcPr>
            <w:tcW w:w="309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1586B6CA" w14:textId="1EAED2D4" w:rsidR="001709FC" w:rsidRPr="00711CA4" w:rsidRDefault="001709FC" w:rsidP="00AE2C1A">
            <w:pPr>
              <w:spacing w:after="0" w:line="240" w:lineRule="auto"/>
              <w:textAlignment w:val="baseline"/>
              <w:rPr>
                <w:rFonts w:ascii="Open Sans" w:eastAsia="Times New Roman" w:hAnsi="Open Sans" w:cs="Open Sans"/>
                <w:sz w:val="20"/>
                <w:szCs w:val="20"/>
              </w:rPr>
            </w:pPr>
            <w:r w:rsidRPr="00711CA4">
              <w:rPr>
                <w:rFonts w:ascii="Open Sans" w:eastAsia="Times New Roman" w:hAnsi="Open Sans" w:cs="Open Sans"/>
                <w:b/>
                <w:color w:val="595959"/>
                <w:sz w:val="20"/>
                <w:szCs w:val="20"/>
                <w:lang w:val="en-GB"/>
              </w:rPr>
              <w:t>Abbreviation</w:t>
            </w:r>
          </w:p>
        </w:tc>
      </w:tr>
      <w:tr w:rsidR="001633CB" w:rsidRPr="001709FC" w14:paraId="58F55699" w14:textId="77777777" w:rsidTr="00711CA4">
        <w:trPr>
          <w:trHeight w:val="432"/>
        </w:trPr>
        <w:tc>
          <w:tcPr>
            <w:tcW w:w="2010" w:type="dxa"/>
            <w:tcBorders>
              <w:top w:val="single" w:sz="6" w:space="0" w:color="auto"/>
              <w:left w:val="single" w:sz="6" w:space="0" w:color="auto"/>
              <w:bottom w:val="single" w:sz="6" w:space="0" w:color="auto"/>
              <w:right w:val="single" w:sz="6" w:space="0" w:color="auto"/>
            </w:tcBorders>
            <w:vAlign w:val="center"/>
          </w:tcPr>
          <w:p w14:paraId="796821F8" w14:textId="77777777" w:rsidR="001633CB" w:rsidRPr="004A61C3" w:rsidRDefault="001633CB" w:rsidP="00AE2C1A">
            <w:pPr>
              <w:spacing w:after="0" w:line="240" w:lineRule="auto"/>
              <w:textAlignment w:val="baseline"/>
              <w:rPr>
                <w:rFonts w:ascii="Open Sans" w:eastAsia="Times New Roman" w:hAnsi="Open Sans" w:cs="Open Sans"/>
                <w:color w:val="595959"/>
                <w:sz w:val="18"/>
                <w:szCs w:val="18"/>
                <w:lang w:val="en-GB"/>
              </w:rPr>
            </w:pPr>
          </w:p>
        </w:tc>
        <w:tc>
          <w:tcPr>
            <w:tcW w:w="2400" w:type="dxa"/>
            <w:tcBorders>
              <w:top w:val="single" w:sz="6" w:space="0" w:color="auto"/>
              <w:left w:val="single" w:sz="6" w:space="0" w:color="auto"/>
              <w:bottom w:val="single" w:sz="6" w:space="0" w:color="auto"/>
              <w:right w:val="single" w:sz="6" w:space="0" w:color="auto"/>
            </w:tcBorders>
            <w:vAlign w:val="center"/>
          </w:tcPr>
          <w:p w14:paraId="2AEC1D08" w14:textId="77777777" w:rsidR="001633CB" w:rsidRPr="004A61C3" w:rsidRDefault="001633CB" w:rsidP="00AE2C1A">
            <w:pPr>
              <w:spacing w:after="0" w:line="240" w:lineRule="auto"/>
              <w:textAlignment w:val="baseline"/>
              <w:rPr>
                <w:rFonts w:ascii="Open Sans" w:eastAsia="Times New Roman" w:hAnsi="Open Sans" w:cs="Open Sans"/>
                <w:color w:val="595959"/>
                <w:sz w:val="18"/>
                <w:szCs w:val="18"/>
                <w:lang w:val="en-GB"/>
              </w:rPr>
            </w:pPr>
          </w:p>
        </w:tc>
        <w:tc>
          <w:tcPr>
            <w:tcW w:w="3150" w:type="dxa"/>
            <w:tcBorders>
              <w:top w:val="single" w:sz="6" w:space="0" w:color="auto"/>
              <w:left w:val="single" w:sz="6" w:space="0" w:color="auto"/>
              <w:bottom w:val="single" w:sz="6" w:space="0" w:color="auto"/>
              <w:right w:val="single" w:sz="6" w:space="0" w:color="auto"/>
            </w:tcBorders>
            <w:vAlign w:val="center"/>
          </w:tcPr>
          <w:p w14:paraId="3F229226" w14:textId="77777777" w:rsidR="001633CB" w:rsidRPr="004A61C3" w:rsidRDefault="001633CB" w:rsidP="00AE2C1A">
            <w:pPr>
              <w:spacing w:after="0" w:line="240" w:lineRule="auto"/>
              <w:textAlignment w:val="baseline"/>
              <w:rPr>
                <w:rFonts w:ascii="Open Sans" w:eastAsia="Times New Roman" w:hAnsi="Open Sans" w:cs="Open Sans"/>
                <w:color w:val="595959"/>
                <w:sz w:val="18"/>
                <w:szCs w:val="18"/>
                <w:lang w:val="en-GB"/>
              </w:rPr>
            </w:pPr>
          </w:p>
        </w:tc>
        <w:tc>
          <w:tcPr>
            <w:tcW w:w="4410" w:type="dxa"/>
            <w:tcBorders>
              <w:top w:val="single" w:sz="6" w:space="0" w:color="auto"/>
              <w:left w:val="single" w:sz="6" w:space="0" w:color="auto"/>
              <w:bottom w:val="single" w:sz="6" w:space="0" w:color="auto"/>
              <w:right w:val="single" w:sz="6" w:space="0" w:color="auto"/>
            </w:tcBorders>
            <w:vAlign w:val="center"/>
          </w:tcPr>
          <w:p w14:paraId="2C4D9845" w14:textId="77777777" w:rsidR="001633CB" w:rsidRPr="004A61C3" w:rsidRDefault="001633CB" w:rsidP="00AE2C1A">
            <w:pPr>
              <w:spacing w:after="0" w:line="240" w:lineRule="auto"/>
              <w:textAlignment w:val="baseline"/>
              <w:rPr>
                <w:rFonts w:ascii="Open Sans" w:eastAsia="Times New Roman" w:hAnsi="Open Sans" w:cs="Open Sans"/>
                <w:color w:val="595959"/>
                <w:sz w:val="18"/>
                <w:szCs w:val="18"/>
                <w:lang w:val="en-GB"/>
              </w:rPr>
            </w:pPr>
          </w:p>
        </w:tc>
        <w:tc>
          <w:tcPr>
            <w:tcW w:w="3090" w:type="dxa"/>
            <w:tcBorders>
              <w:top w:val="single" w:sz="6" w:space="0" w:color="auto"/>
              <w:left w:val="single" w:sz="6" w:space="0" w:color="auto"/>
              <w:bottom w:val="single" w:sz="6" w:space="0" w:color="auto"/>
              <w:right w:val="single" w:sz="6" w:space="0" w:color="auto"/>
            </w:tcBorders>
            <w:vAlign w:val="center"/>
          </w:tcPr>
          <w:p w14:paraId="37D74816" w14:textId="77777777" w:rsidR="001633CB" w:rsidRPr="004A61C3" w:rsidRDefault="001633CB" w:rsidP="00AE2C1A">
            <w:pPr>
              <w:spacing w:after="0" w:line="240" w:lineRule="auto"/>
              <w:textAlignment w:val="baseline"/>
              <w:rPr>
                <w:rFonts w:ascii="Open Sans" w:eastAsia="Times New Roman" w:hAnsi="Open Sans" w:cs="Open Sans"/>
                <w:color w:val="595959"/>
                <w:sz w:val="18"/>
                <w:szCs w:val="18"/>
                <w:lang w:val="en-GB"/>
              </w:rPr>
            </w:pPr>
          </w:p>
        </w:tc>
      </w:tr>
    </w:tbl>
    <w:p w14:paraId="0212ACB3" w14:textId="519D34B2" w:rsidR="001709FC" w:rsidRPr="004A61C3" w:rsidRDefault="001709FC" w:rsidP="00AE2C1A">
      <w:pPr>
        <w:shd w:val="clear" w:color="auto" w:fill="FFFFFF"/>
        <w:spacing w:after="0" w:line="240" w:lineRule="auto"/>
        <w:ind w:left="555" w:hanging="555"/>
        <w:textAlignment w:val="baseline"/>
        <w:rPr>
          <w:rFonts w:ascii="Open Sans" w:eastAsia="Times New Roman" w:hAnsi="Open Sans" w:cs="Open Sans"/>
          <w:b/>
          <w:sz w:val="18"/>
          <w:szCs w:val="18"/>
        </w:rPr>
      </w:pPr>
    </w:p>
    <w:p w14:paraId="3CEEE34E" w14:textId="4E9A8FC1" w:rsidR="00D44B73" w:rsidRPr="004A61C3" w:rsidRDefault="00C23298" w:rsidP="00AE2C1A">
      <w:pPr>
        <w:shd w:val="clear" w:color="auto" w:fill="FFFFFF"/>
        <w:spacing w:line="240" w:lineRule="auto"/>
        <w:textAlignment w:val="baseline"/>
        <w:rPr>
          <w:rFonts w:ascii="Open Sans" w:eastAsia="Times New Roman" w:hAnsi="Open Sans" w:cs="Open Sans"/>
          <w:b/>
          <w:color w:val="595959"/>
          <w:u w:val="single"/>
          <w:lang w:val="en-GB"/>
        </w:rPr>
      </w:pPr>
      <w:r w:rsidRPr="004A61C3">
        <w:rPr>
          <w:rFonts w:ascii="Open Sans" w:eastAsia="Times New Roman" w:hAnsi="Open Sans" w:cs="Open Sans"/>
          <w:b/>
          <w:color w:val="595959"/>
          <w:u w:val="single"/>
          <w:lang w:val="en-GB"/>
        </w:rPr>
        <w:t xml:space="preserve">General </w:t>
      </w:r>
      <w:r w:rsidR="00BB2922" w:rsidRPr="004A61C3">
        <w:rPr>
          <w:rFonts w:ascii="Open Sans" w:eastAsia="Times New Roman" w:hAnsi="Open Sans" w:cs="Open Sans"/>
          <w:b/>
          <w:color w:val="595959"/>
          <w:u w:val="single"/>
          <w:lang w:val="en-GB"/>
        </w:rPr>
        <w:t>Questions</w:t>
      </w:r>
    </w:p>
    <w:p w14:paraId="25AC2F19" w14:textId="01DA0453" w:rsidR="006B62F4" w:rsidRPr="004A61C3" w:rsidRDefault="00F04BAE" w:rsidP="00AE2C1A">
      <w:pPr>
        <w:spacing w:line="240" w:lineRule="auto"/>
        <w:textAlignment w:val="baseline"/>
        <w:rPr>
          <w:rFonts w:ascii="Open Sans" w:eastAsia="Calibri" w:hAnsi="Open Sans" w:cs="Open Sans"/>
          <w:color w:val="595959"/>
          <w:sz w:val="20"/>
          <w:szCs w:val="20"/>
        </w:rPr>
      </w:pPr>
      <w:r w:rsidRPr="004A61C3">
        <w:rPr>
          <w:rFonts w:ascii="Open Sans" w:eastAsia="Calibri" w:hAnsi="Open Sans" w:cs="Open Sans"/>
          <w:color w:val="595959" w:themeColor="text1" w:themeTint="A6"/>
          <w:sz w:val="20"/>
          <w:szCs w:val="20"/>
        </w:rPr>
        <w:t>The following questions are designed to collect general feedback on potential use</w:t>
      </w:r>
      <w:r w:rsidR="00C11C60" w:rsidRPr="004A61C3">
        <w:rPr>
          <w:rFonts w:ascii="Open Sans" w:eastAsia="Calibri" w:hAnsi="Open Sans" w:cs="Open Sans"/>
          <w:color w:val="595959" w:themeColor="text1" w:themeTint="A6"/>
          <w:sz w:val="20"/>
          <w:szCs w:val="20"/>
        </w:rPr>
        <w:t>s</w:t>
      </w:r>
      <w:r w:rsidRPr="004A61C3">
        <w:rPr>
          <w:rFonts w:ascii="Open Sans" w:eastAsia="Calibri" w:hAnsi="Open Sans" w:cs="Open Sans"/>
          <w:color w:val="595959" w:themeColor="text1" w:themeTint="A6"/>
          <w:sz w:val="20"/>
          <w:szCs w:val="20"/>
        </w:rPr>
        <w:t xml:space="preserve"> </w:t>
      </w:r>
      <w:r w:rsidR="00C11C60" w:rsidRPr="004A61C3">
        <w:rPr>
          <w:rFonts w:ascii="Open Sans" w:eastAsia="Calibri" w:hAnsi="Open Sans" w:cs="Open Sans"/>
          <w:color w:val="595959" w:themeColor="text1" w:themeTint="A6"/>
          <w:sz w:val="20"/>
          <w:szCs w:val="20"/>
        </w:rPr>
        <w:t xml:space="preserve">and driving adoption </w:t>
      </w:r>
      <w:r w:rsidRPr="004A61C3">
        <w:rPr>
          <w:rFonts w:ascii="Open Sans" w:eastAsia="Calibri" w:hAnsi="Open Sans" w:cs="Open Sans"/>
          <w:color w:val="595959" w:themeColor="text1" w:themeTint="A6"/>
          <w:sz w:val="20"/>
          <w:szCs w:val="20"/>
        </w:rPr>
        <w:t>of the guidance</w:t>
      </w:r>
      <w:r w:rsidR="006B62F4" w:rsidRPr="004A61C3">
        <w:rPr>
          <w:rFonts w:ascii="Open Sans" w:eastAsia="Calibri" w:hAnsi="Open Sans" w:cs="Open Sans"/>
          <w:color w:val="595959" w:themeColor="text1" w:themeTint="A6"/>
          <w:sz w:val="20"/>
          <w:szCs w:val="20"/>
        </w:rPr>
        <w:t xml:space="preserve">. Although these questions are mainly designed for aluminum buyers, input from other supply chain stakeholders </w:t>
      </w:r>
      <w:r w:rsidR="3C34981F" w:rsidRPr="004A61C3">
        <w:rPr>
          <w:rFonts w:ascii="Open Sans" w:eastAsia="Calibri" w:hAnsi="Open Sans" w:cs="Open Sans"/>
          <w:color w:val="595959" w:themeColor="text1" w:themeTint="A6"/>
          <w:sz w:val="20"/>
          <w:szCs w:val="20"/>
        </w:rPr>
        <w:t>is</w:t>
      </w:r>
      <w:r w:rsidR="006B62F4" w:rsidRPr="004A61C3">
        <w:rPr>
          <w:rFonts w:ascii="Open Sans" w:eastAsia="Calibri" w:hAnsi="Open Sans" w:cs="Open Sans"/>
          <w:color w:val="595959" w:themeColor="text1" w:themeTint="A6"/>
          <w:sz w:val="20"/>
          <w:szCs w:val="20"/>
        </w:rPr>
        <w:t xml:space="preserve"> welcomed and valued.</w:t>
      </w:r>
    </w:p>
    <w:tbl>
      <w:tblPr>
        <w:tblW w:w="12955"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firstRow="1" w:lastRow="0" w:firstColumn="1" w:lastColumn="0" w:noHBand="0" w:noVBand="1"/>
      </w:tblPr>
      <w:tblGrid>
        <w:gridCol w:w="12955"/>
      </w:tblGrid>
      <w:tr w:rsidR="006B62F4" w:rsidRPr="00D44B73" w14:paraId="3598180C" w14:textId="77777777" w:rsidTr="00711CA4">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872C263" w14:textId="4348A320" w:rsidR="006B62F4" w:rsidRPr="00711CA4" w:rsidRDefault="00AE6317" w:rsidP="00FF62CD">
            <w:pPr>
              <w:spacing w:after="0"/>
              <w:rPr>
                <w:rFonts w:ascii="Open Sans" w:eastAsia="Calibri" w:hAnsi="Open Sans" w:cs="Open Sans"/>
                <w:b/>
                <w:color w:val="595959"/>
                <w:sz w:val="20"/>
                <w:szCs w:val="20"/>
              </w:rPr>
            </w:pPr>
            <w:r w:rsidRPr="00711CA4">
              <w:rPr>
                <w:rFonts w:ascii="Open Sans" w:eastAsia="Calibri" w:hAnsi="Open Sans" w:cs="Open Sans"/>
                <w:b/>
                <w:color w:val="595959"/>
                <w:sz w:val="20"/>
                <w:szCs w:val="20"/>
              </w:rPr>
              <w:t>Are there any major concerns that would limit your ability or willingness to use this framework? What improvements would most increase your willingness to participate in or rely on BCUs?</w:t>
            </w:r>
          </w:p>
        </w:tc>
      </w:tr>
      <w:tr w:rsidR="006B62F4" w:rsidRPr="00D44B73" w14:paraId="51F2BC91" w14:textId="77777777" w:rsidTr="00711CA4">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AC6D87" w14:textId="77777777" w:rsidR="006B62F4" w:rsidRPr="00711CA4" w:rsidRDefault="006B62F4" w:rsidP="00FF62CD">
            <w:pPr>
              <w:spacing w:after="0"/>
              <w:rPr>
                <w:rFonts w:ascii="Open Sans" w:eastAsia="Calibri" w:hAnsi="Open Sans" w:cs="Open Sans"/>
                <w:b/>
                <w:color w:val="17406D" w:themeColor="text2"/>
                <w:sz w:val="20"/>
                <w:szCs w:val="20"/>
              </w:rPr>
            </w:pPr>
            <w:r w:rsidRPr="00711CA4">
              <w:rPr>
                <w:rFonts w:ascii="Open Sans" w:eastAsia="Times New Roman" w:hAnsi="Open Sans" w:cs="Open Sans"/>
                <w:b/>
                <w:color w:val="17406D" w:themeColor="text2"/>
                <w:sz w:val="20"/>
                <w:szCs w:val="20"/>
                <w:lang w:val="en-GB"/>
              </w:rPr>
              <w:t>Answer:</w:t>
            </w:r>
          </w:p>
        </w:tc>
      </w:tr>
      <w:tr w:rsidR="006B62F4" w:rsidRPr="00D44B73" w14:paraId="777698C1" w14:textId="77777777" w:rsidTr="00711CA4">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B45FFE3" w14:textId="54E84386" w:rsidR="006B62F4" w:rsidRPr="00711CA4" w:rsidRDefault="00370FBA" w:rsidP="00FF62CD">
            <w:pPr>
              <w:spacing w:after="0"/>
              <w:rPr>
                <w:rFonts w:ascii="Open Sans" w:eastAsia="Calibri" w:hAnsi="Open Sans" w:cs="Open Sans"/>
                <w:b/>
                <w:color w:val="595959"/>
                <w:sz w:val="20"/>
                <w:szCs w:val="20"/>
              </w:rPr>
            </w:pPr>
            <w:r w:rsidRPr="00711CA4">
              <w:rPr>
                <w:rFonts w:ascii="Open Sans" w:eastAsia="Calibri" w:hAnsi="Open Sans" w:cs="Open Sans"/>
                <w:b/>
                <w:color w:val="595959"/>
                <w:sz w:val="20"/>
                <w:szCs w:val="20"/>
              </w:rPr>
              <w:t>What would give you confidence to engage in book-and-claim mechanisms at scale?</w:t>
            </w:r>
          </w:p>
        </w:tc>
      </w:tr>
      <w:tr w:rsidR="006B62F4" w:rsidRPr="00D44B73" w14:paraId="041DA177" w14:textId="77777777" w:rsidTr="00711CA4">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2A020F7" w14:textId="77777777" w:rsidR="006B62F4" w:rsidRPr="00711CA4" w:rsidRDefault="006B62F4" w:rsidP="00FF62CD">
            <w:pPr>
              <w:spacing w:after="0"/>
              <w:rPr>
                <w:rFonts w:ascii="Open Sans" w:eastAsia="Calibri" w:hAnsi="Open Sans" w:cs="Open Sans"/>
                <w:b/>
                <w:color w:val="595959"/>
                <w:sz w:val="20"/>
                <w:szCs w:val="20"/>
              </w:rPr>
            </w:pPr>
            <w:r w:rsidRPr="00711CA4">
              <w:rPr>
                <w:rFonts w:ascii="Open Sans" w:eastAsia="Times New Roman" w:hAnsi="Open Sans" w:cs="Open Sans"/>
                <w:b/>
                <w:color w:val="17406D" w:themeColor="text2"/>
                <w:sz w:val="20"/>
                <w:szCs w:val="20"/>
                <w:lang w:val="en-GB"/>
              </w:rPr>
              <w:t>Answer:</w:t>
            </w:r>
          </w:p>
        </w:tc>
      </w:tr>
      <w:tr w:rsidR="006B62F4" w:rsidRPr="00D44B73" w14:paraId="5487A482" w14:textId="77777777" w:rsidTr="00711CA4">
        <w:trPr>
          <w:trHeight w:val="86"/>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664CFE0" w14:textId="6C896409" w:rsidR="006B62F4" w:rsidRPr="00711CA4" w:rsidRDefault="00BA3825" w:rsidP="00FF62CD">
            <w:pPr>
              <w:spacing w:after="0"/>
              <w:rPr>
                <w:rFonts w:ascii="Open Sans" w:eastAsia="Calibri" w:hAnsi="Open Sans" w:cs="Open Sans"/>
                <w:b/>
                <w:color w:val="595959"/>
                <w:sz w:val="20"/>
                <w:szCs w:val="20"/>
              </w:rPr>
            </w:pPr>
            <w:r w:rsidRPr="00711CA4">
              <w:rPr>
                <w:rFonts w:ascii="Open Sans" w:eastAsia="Calibri" w:hAnsi="Open Sans" w:cs="Open Sans"/>
                <w:b/>
                <w:color w:val="595959"/>
                <w:sz w:val="20"/>
                <w:szCs w:val="20"/>
              </w:rPr>
              <w:t>Do you have suggestions for additional actions that could support adoption of this guidance (e.g., capacity building, pilots, tools, or further clarification)?</w:t>
            </w:r>
          </w:p>
        </w:tc>
      </w:tr>
      <w:tr w:rsidR="006B62F4" w:rsidRPr="00D44B73" w14:paraId="00CD9BC9" w14:textId="77777777" w:rsidTr="00711CA4">
        <w:trPr>
          <w:trHeight w:val="432"/>
        </w:trPr>
        <w:tc>
          <w:tcPr>
            <w:tcW w:w="12955"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1421FE0" w14:textId="77777777" w:rsidR="006B62F4" w:rsidRPr="00711CA4" w:rsidRDefault="006B62F4" w:rsidP="00FF62CD">
            <w:pPr>
              <w:spacing w:after="0"/>
              <w:rPr>
                <w:rFonts w:ascii="Open Sans" w:eastAsia="Calibri" w:hAnsi="Open Sans" w:cs="Open Sans"/>
                <w:b/>
                <w:color w:val="595959"/>
                <w:sz w:val="20"/>
                <w:szCs w:val="20"/>
              </w:rPr>
            </w:pPr>
            <w:r w:rsidRPr="00711CA4">
              <w:rPr>
                <w:rFonts w:ascii="Open Sans" w:eastAsia="Times New Roman" w:hAnsi="Open Sans" w:cs="Open Sans"/>
                <w:b/>
                <w:color w:val="17406D" w:themeColor="text2"/>
                <w:sz w:val="20"/>
                <w:szCs w:val="20"/>
                <w:lang w:val="en-GB"/>
              </w:rPr>
              <w:t>Answer:</w:t>
            </w:r>
          </w:p>
        </w:tc>
      </w:tr>
    </w:tbl>
    <w:p w14:paraId="63EB4DE6" w14:textId="26061559" w:rsidR="00AF10D9" w:rsidRPr="004A61C3" w:rsidRDefault="00AF10D9" w:rsidP="00AE2C1A">
      <w:pPr>
        <w:spacing w:after="0" w:line="240" w:lineRule="auto"/>
        <w:textAlignment w:val="baseline"/>
        <w:rPr>
          <w:rFonts w:ascii="Open Sans" w:eastAsia="Times New Roman" w:hAnsi="Open Sans" w:cs="Open Sans"/>
          <w:sz w:val="18"/>
          <w:szCs w:val="18"/>
        </w:rPr>
      </w:pPr>
    </w:p>
    <w:p w14:paraId="3F98632E" w14:textId="77777777" w:rsidR="00DE5B0B" w:rsidRPr="004A61C3" w:rsidRDefault="00DE5B0B" w:rsidP="00AE2C1A">
      <w:pPr>
        <w:spacing w:after="0" w:line="240" w:lineRule="auto"/>
        <w:textAlignment w:val="baseline"/>
        <w:rPr>
          <w:rFonts w:ascii="Open Sans" w:eastAsia="Times New Roman" w:hAnsi="Open Sans" w:cs="Open Sans"/>
          <w:sz w:val="18"/>
          <w:szCs w:val="18"/>
        </w:rPr>
      </w:pPr>
    </w:p>
    <w:p w14:paraId="71ECC0E9" w14:textId="08306CFE" w:rsidR="00BB2922" w:rsidRPr="004A61C3" w:rsidRDefault="00D44B73" w:rsidP="00AE2C1A">
      <w:pPr>
        <w:shd w:val="clear" w:color="auto" w:fill="FFFFFF"/>
        <w:spacing w:before="240" w:line="240" w:lineRule="auto"/>
        <w:textAlignment w:val="baseline"/>
        <w:rPr>
          <w:rFonts w:ascii="Open Sans" w:eastAsia="Times New Roman" w:hAnsi="Open Sans" w:cs="Open Sans"/>
          <w:b/>
          <w:color w:val="595959"/>
          <w:u w:val="single"/>
          <w:lang w:val="en-GB"/>
        </w:rPr>
      </w:pPr>
      <w:r w:rsidRPr="004A61C3">
        <w:rPr>
          <w:rFonts w:ascii="Open Sans" w:eastAsia="Times New Roman" w:hAnsi="Open Sans" w:cs="Open Sans"/>
          <w:b/>
          <w:color w:val="595959"/>
          <w:u w:val="single"/>
          <w:lang w:val="en-GB"/>
        </w:rPr>
        <w:lastRenderedPageBreak/>
        <w:t xml:space="preserve">Technical </w:t>
      </w:r>
      <w:r w:rsidR="00BB2922" w:rsidRPr="004A61C3">
        <w:rPr>
          <w:rFonts w:ascii="Open Sans" w:eastAsia="Times New Roman" w:hAnsi="Open Sans" w:cs="Open Sans"/>
          <w:b/>
          <w:color w:val="595959"/>
          <w:u w:val="single"/>
          <w:lang w:val="en-GB"/>
        </w:rPr>
        <w:t>Questions</w:t>
      </w:r>
    </w:p>
    <w:p w14:paraId="1EE7A7F7" w14:textId="38236607" w:rsidR="004D53B3" w:rsidRPr="004A61C3" w:rsidRDefault="004D53B3"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r w:rsidRPr="004A61C3">
        <w:rPr>
          <w:rFonts w:ascii="Open Sans" w:eastAsia="Calibri" w:hAnsi="Open Sans" w:cs="Open Sans"/>
          <w:color w:val="595959"/>
          <w:sz w:val="20"/>
          <w:szCs w:val="20"/>
        </w:rPr>
        <w:t>The following questions are designed to collect specific technical comments on key system design topics.</w:t>
      </w:r>
    </w:p>
    <w:p w14:paraId="333E3525" w14:textId="40134B56" w:rsidR="0008542C" w:rsidRPr="00764D89" w:rsidRDefault="004D53B3"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 xml:space="preserve">Section 2 Scope of </w:t>
      </w:r>
      <w:r w:rsidR="00E47D49" w:rsidRPr="00764D89">
        <w:rPr>
          <w:rFonts w:ascii="Open Sans" w:eastAsia="Times New Roman" w:hAnsi="Open Sans" w:cs="Open Sans"/>
          <w:b/>
          <w:color w:val="595959"/>
          <w:sz w:val="20"/>
          <w:szCs w:val="20"/>
          <w:u w:val="single"/>
          <w:lang w:val="en-GB"/>
        </w:rPr>
        <w:t>T</w:t>
      </w:r>
      <w:r w:rsidRPr="00764D89">
        <w:rPr>
          <w:rFonts w:ascii="Open Sans" w:eastAsia="Times New Roman" w:hAnsi="Open Sans" w:cs="Open Sans"/>
          <w:b/>
          <w:color w:val="595959"/>
          <w:sz w:val="20"/>
          <w:szCs w:val="20"/>
          <w:u w:val="single"/>
          <w:lang w:val="en-GB"/>
        </w:rPr>
        <w:t xml:space="preserve">his </w:t>
      </w:r>
      <w:r w:rsidR="00E47D49" w:rsidRPr="00764D89">
        <w:rPr>
          <w:rFonts w:ascii="Open Sans" w:eastAsia="Times New Roman" w:hAnsi="Open Sans" w:cs="Open Sans"/>
          <w:b/>
          <w:color w:val="595959"/>
          <w:sz w:val="20"/>
          <w:szCs w:val="20"/>
          <w:u w:val="single"/>
          <w:lang w:val="en-GB"/>
        </w:rPr>
        <w:t>F</w:t>
      </w:r>
      <w:r w:rsidRPr="00764D89">
        <w:rPr>
          <w:rFonts w:ascii="Open Sans" w:eastAsia="Times New Roman" w:hAnsi="Open Sans" w:cs="Open Sans"/>
          <w:b/>
          <w:color w:val="595959"/>
          <w:sz w:val="20"/>
          <w:szCs w:val="20"/>
          <w:u w:val="single"/>
          <w:lang w:val="en-GB"/>
        </w:rPr>
        <w:t>ramework</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339B56C9" w14:paraId="0199AE43" w14:textId="77777777" w:rsidTr="339B56C9">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0C5D7869" w14:textId="0D470CFA" w:rsidR="428F4A29" w:rsidRPr="00711CA4" w:rsidRDefault="0097654C" w:rsidP="339B56C9">
            <w:pPr>
              <w:spacing w:after="0" w:line="240" w:lineRule="auto"/>
              <w:rPr>
                <w:rFonts w:ascii="Open Sans" w:eastAsia="Times New Roman" w:hAnsi="Open Sans" w:cs="Open Sans"/>
                <w:sz w:val="20"/>
                <w:szCs w:val="20"/>
              </w:rPr>
            </w:pPr>
            <w:r w:rsidRPr="00711CA4">
              <w:rPr>
                <w:rFonts w:ascii="Open Sans" w:eastAsia="Times New Roman" w:hAnsi="Open Sans" w:cs="Open Sans"/>
                <w:b/>
                <w:color w:val="FFFFFF" w:themeColor="background1"/>
                <w:sz w:val="20"/>
                <w:szCs w:val="20"/>
                <w:lang w:val="en-GB"/>
              </w:rPr>
              <w:t xml:space="preserve">Section </w:t>
            </w:r>
            <w:r w:rsidR="004468B1" w:rsidRPr="00711CA4">
              <w:rPr>
                <w:rFonts w:ascii="Open Sans" w:eastAsia="Times New Roman" w:hAnsi="Open Sans" w:cs="Open Sans"/>
                <w:b/>
                <w:color w:val="FFFFFF" w:themeColor="background1"/>
                <w:sz w:val="20"/>
                <w:szCs w:val="20"/>
                <w:lang w:val="en-GB"/>
              </w:rPr>
              <w:t>2.2 Functional</w:t>
            </w:r>
            <w:r w:rsidR="0551AF82" w:rsidRPr="00711CA4">
              <w:rPr>
                <w:rFonts w:ascii="Open Sans" w:eastAsia="Times New Roman" w:hAnsi="Open Sans" w:cs="Open Sans"/>
                <w:b/>
                <w:color w:val="FFFFFF" w:themeColor="background1"/>
                <w:sz w:val="20"/>
                <w:szCs w:val="20"/>
                <w:lang w:val="en-GB"/>
              </w:rPr>
              <w:t xml:space="preserve"> Unit</w:t>
            </w:r>
            <w:r w:rsidR="00E0603C" w:rsidRPr="00711CA4">
              <w:rPr>
                <w:rFonts w:ascii="Open Sans" w:eastAsia="Times New Roman" w:hAnsi="Open Sans" w:cs="Open Sans"/>
                <w:b/>
                <w:color w:val="FFFFFF" w:themeColor="background1"/>
                <w:sz w:val="20"/>
                <w:szCs w:val="20"/>
                <w:lang w:val="en-GB"/>
              </w:rPr>
              <w:t xml:space="preserve"> </w:t>
            </w:r>
          </w:p>
        </w:tc>
      </w:tr>
      <w:tr w:rsidR="339B56C9" w14:paraId="5F45D3A2" w14:textId="77777777" w:rsidTr="002F67C6">
        <w:trPr>
          <w:trHeight w:val="2528"/>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9B5AEB7" w14:textId="47728982" w:rsidR="2706D82D" w:rsidRPr="004A61C3" w:rsidRDefault="2706D82D" w:rsidP="339B56C9">
            <w:pPr>
              <w:spacing w:line="276" w:lineRule="auto"/>
              <w:rPr>
                <w:rFonts w:ascii="Open Sans" w:eastAsia="Roboto" w:hAnsi="Open Sans" w:cs="Open Sans"/>
                <w:color w:val="595959" w:themeColor="text1" w:themeTint="A6"/>
                <w:sz w:val="20"/>
                <w:szCs w:val="20"/>
              </w:rPr>
            </w:pPr>
            <w:r w:rsidRPr="004A61C3">
              <w:rPr>
                <w:rFonts w:ascii="Open Sans" w:eastAsia="Roboto" w:hAnsi="Open Sans" w:cs="Open Sans"/>
                <w:color w:val="595959" w:themeColor="text1" w:themeTint="A6"/>
                <w:sz w:val="20"/>
                <w:szCs w:val="20"/>
              </w:rPr>
              <w:t>The functional unit defines the base unit for this book</w:t>
            </w:r>
            <w:r w:rsidR="00E9021F">
              <w:rPr>
                <w:rFonts w:ascii="Open Sans" w:eastAsia="Roboto" w:hAnsi="Open Sans" w:cs="Open Sans"/>
                <w:color w:val="595959" w:themeColor="text1" w:themeTint="A6"/>
                <w:sz w:val="20"/>
                <w:szCs w:val="20"/>
              </w:rPr>
              <w:t xml:space="preserve"> </w:t>
            </w:r>
            <w:r w:rsidRPr="004A61C3">
              <w:rPr>
                <w:rFonts w:ascii="Open Sans" w:eastAsia="Roboto" w:hAnsi="Open Sans" w:cs="Open Sans"/>
                <w:color w:val="595959" w:themeColor="text1" w:themeTint="A6"/>
                <w:sz w:val="20"/>
                <w:szCs w:val="20"/>
              </w:rPr>
              <w:t>and</w:t>
            </w:r>
            <w:r w:rsidR="00E9021F">
              <w:rPr>
                <w:rFonts w:ascii="Open Sans" w:eastAsia="Roboto" w:hAnsi="Open Sans" w:cs="Open Sans"/>
                <w:color w:val="595959" w:themeColor="text1" w:themeTint="A6"/>
                <w:sz w:val="20"/>
                <w:szCs w:val="20"/>
              </w:rPr>
              <w:t xml:space="preserve"> </w:t>
            </w:r>
            <w:r w:rsidRPr="004A61C3">
              <w:rPr>
                <w:rFonts w:ascii="Open Sans" w:eastAsia="Roboto" w:hAnsi="Open Sans" w:cs="Open Sans"/>
                <w:color w:val="595959" w:themeColor="text1" w:themeTint="A6"/>
                <w:sz w:val="20"/>
                <w:szCs w:val="20"/>
              </w:rPr>
              <w:t xml:space="preserve">claim system for iron and steel and correlates to the physical product from which an EAC will be separated. Selection of the functional unit determines both the scope of emissions covered by the EAC and the supply chain actor responsible for generating and selling the EAC. </w:t>
            </w:r>
          </w:p>
          <w:p w14:paraId="003C1B07" w14:textId="55AFCB4F" w:rsidR="2706D82D" w:rsidRPr="004A61C3" w:rsidRDefault="2706D82D" w:rsidP="339B56C9">
            <w:pPr>
              <w:spacing w:line="276" w:lineRule="auto"/>
              <w:rPr>
                <w:rFonts w:ascii="Open Sans" w:eastAsia="Roboto" w:hAnsi="Open Sans" w:cs="Open Sans"/>
                <w:color w:val="595959" w:themeColor="text1" w:themeTint="A6"/>
                <w:sz w:val="20"/>
                <w:szCs w:val="20"/>
              </w:rPr>
            </w:pPr>
            <w:r w:rsidRPr="004A61C3">
              <w:rPr>
                <w:rFonts w:ascii="Open Sans" w:eastAsia="Roboto" w:hAnsi="Open Sans" w:cs="Open Sans"/>
                <w:color w:val="595959" w:themeColor="text1" w:themeTint="A6"/>
                <w:sz w:val="20"/>
                <w:szCs w:val="20"/>
              </w:rPr>
              <w:t xml:space="preserve">This framework proposes </w:t>
            </w:r>
            <w:r w:rsidRPr="004A61C3">
              <w:rPr>
                <w:rFonts w:ascii="Open Sans" w:eastAsia="Roboto" w:hAnsi="Open Sans" w:cs="Open Sans"/>
                <w:b/>
                <w:color w:val="595959" w:themeColor="text1" w:themeTint="A6"/>
                <w:sz w:val="20"/>
                <w:szCs w:val="20"/>
              </w:rPr>
              <w:t>a dual functional unit system</w:t>
            </w:r>
            <w:r w:rsidRPr="004A61C3">
              <w:rPr>
                <w:rFonts w:ascii="Open Sans" w:eastAsia="Roboto" w:hAnsi="Open Sans" w:cs="Open Sans"/>
                <w:color w:val="595959" w:themeColor="text1" w:themeTint="A6"/>
                <w:sz w:val="20"/>
                <w:szCs w:val="20"/>
              </w:rPr>
              <w:t xml:space="preserve"> such that EACs may be generated at two distinct stages of the steelmaking value chain:</w:t>
            </w:r>
          </w:p>
          <w:p w14:paraId="603250D3" w14:textId="10121F9D" w:rsidR="2706D82D" w:rsidRPr="004A61C3" w:rsidRDefault="2706D82D" w:rsidP="008D7EBE">
            <w:pPr>
              <w:pStyle w:val="ListParagraph"/>
              <w:numPr>
                <w:ilvl w:val="0"/>
                <w:numId w:val="19"/>
              </w:numPr>
              <w:spacing w:after="0" w:line="276" w:lineRule="auto"/>
              <w:rPr>
                <w:rFonts w:ascii="Open Sans" w:eastAsia="Roboto" w:hAnsi="Open Sans" w:cs="Open Sans"/>
                <w:color w:val="595959" w:themeColor="text1" w:themeTint="A6"/>
                <w:sz w:val="20"/>
                <w:szCs w:val="20"/>
              </w:rPr>
            </w:pPr>
            <w:r w:rsidRPr="004A61C3">
              <w:rPr>
                <w:rFonts w:ascii="Open Sans" w:eastAsia="Roboto" w:hAnsi="Open Sans" w:cs="Open Sans"/>
                <w:b/>
                <w:color w:val="595959" w:themeColor="text1" w:themeTint="A6"/>
                <w:sz w:val="20"/>
                <w:szCs w:val="20"/>
              </w:rPr>
              <w:t>Iron</w:t>
            </w:r>
            <w:r w:rsidRPr="004A61C3">
              <w:rPr>
                <w:rFonts w:ascii="Open Sans" w:eastAsia="Roboto" w:hAnsi="Open Sans" w:cs="Open Sans"/>
                <w:color w:val="595959" w:themeColor="text1" w:themeTint="A6"/>
                <w:sz w:val="20"/>
                <w:szCs w:val="20"/>
              </w:rPr>
              <w:t>, defined as the product from blast furnaces, direct reduction furnaces, or future electrolytic reduction processes, including pig iron, direct reduc</w:t>
            </w:r>
            <w:r w:rsidR="00755D26">
              <w:rPr>
                <w:rFonts w:ascii="Open Sans" w:eastAsia="Roboto" w:hAnsi="Open Sans" w:cs="Open Sans"/>
                <w:color w:val="595959" w:themeColor="text1" w:themeTint="A6"/>
                <w:sz w:val="20"/>
                <w:szCs w:val="20"/>
              </w:rPr>
              <w:t>ed</w:t>
            </w:r>
            <w:r w:rsidRPr="004A61C3">
              <w:rPr>
                <w:rFonts w:ascii="Open Sans" w:eastAsia="Roboto" w:hAnsi="Open Sans" w:cs="Open Sans"/>
                <w:color w:val="595959" w:themeColor="text1" w:themeTint="A6"/>
                <w:sz w:val="20"/>
                <w:szCs w:val="20"/>
              </w:rPr>
              <w:t xml:space="preserve"> iron (DRI), hot briquetted iron (HBI), cast iron, and electrolytic iron.</w:t>
            </w:r>
          </w:p>
          <w:p w14:paraId="1B866D49" w14:textId="0BB98995" w:rsidR="2706D82D" w:rsidRPr="004A61C3" w:rsidRDefault="2706D82D" w:rsidP="008D7EBE">
            <w:pPr>
              <w:pStyle w:val="ListParagraph"/>
              <w:numPr>
                <w:ilvl w:val="0"/>
                <w:numId w:val="19"/>
              </w:numPr>
              <w:spacing w:after="0" w:line="276" w:lineRule="auto"/>
              <w:rPr>
                <w:rFonts w:ascii="Open Sans" w:eastAsia="Roboto" w:hAnsi="Open Sans" w:cs="Open Sans"/>
                <w:color w:val="595959" w:themeColor="text1" w:themeTint="A6"/>
                <w:sz w:val="20"/>
                <w:szCs w:val="20"/>
              </w:rPr>
            </w:pPr>
            <w:r w:rsidRPr="004A61C3">
              <w:rPr>
                <w:rFonts w:ascii="Open Sans" w:eastAsia="Roboto" w:hAnsi="Open Sans" w:cs="Open Sans"/>
                <w:b/>
                <w:color w:val="595959" w:themeColor="text1" w:themeTint="A6"/>
                <w:sz w:val="20"/>
                <w:szCs w:val="20"/>
              </w:rPr>
              <w:t>Steel</w:t>
            </w:r>
            <w:r w:rsidRPr="004A61C3">
              <w:rPr>
                <w:rFonts w:ascii="Open Sans" w:eastAsia="Roboto" w:hAnsi="Open Sans" w:cs="Open Sans"/>
                <w:color w:val="595959" w:themeColor="text1" w:themeTint="A6"/>
                <w:sz w:val="20"/>
                <w:szCs w:val="20"/>
              </w:rPr>
              <w:t>, defined at the crude steel level (i.e.</w:t>
            </w:r>
            <w:r w:rsidR="00076035">
              <w:rPr>
                <w:rFonts w:ascii="Open Sans" w:eastAsia="Roboto" w:hAnsi="Open Sans" w:cs="Open Sans"/>
                <w:color w:val="595959" w:themeColor="text1" w:themeTint="A6"/>
                <w:sz w:val="20"/>
                <w:szCs w:val="20"/>
              </w:rPr>
              <w:t>,</w:t>
            </w:r>
            <w:r w:rsidRPr="004A61C3">
              <w:rPr>
                <w:rFonts w:ascii="Open Sans" w:eastAsia="Roboto" w:hAnsi="Open Sans" w:cs="Open Sans"/>
                <w:color w:val="595959" w:themeColor="text1" w:themeTint="A6"/>
                <w:sz w:val="20"/>
                <w:szCs w:val="20"/>
              </w:rPr>
              <w:t xml:space="preserve"> blooms, billets, and slab), covering the additional processes that mix scrap and iron for melting and metallurgical adjustments.</w:t>
            </w:r>
          </w:p>
          <w:p w14:paraId="4565D0ED" w14:textId="0CE08B74" w:rsidR="339B56C9" w:rsidRPr="004A61C3" w:rsidRDefault="339B56C9" w:rsidP="00AE2C1A">
            <w:pPr>
              <w:spacing w:after="0"/>
              <w:rPr>
                <w:rFonts w:ascii="Open Sans" w:eastAsia="Calibri" w:hAnsi="Open Sans" w:cs="Open Sans"/>
                <w:color w:val="595959" w:themeColor="text1" w:themeTint="A6"/>
                <w:sz w:val="20"/>
                <w:szCs w:val="20"/>
              </w:rPr>
            </w:pPr>
          </w:p>
        </w:tc>
      </w:tr>
      <w:tr w:rsidR="339B56C9" w14:paraId="290BCF98"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92BB772" w14:textId="154D453A" w:rsidR="339B56C9" w:rsidRPr="004A61C3" w:rsidRDefault="00B30CB8" w:rsidP="007A4190">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9E9AB09" w14:textId="0A90FD9E" w:rsidR="56DAA2B0" w:rsidRPr="004A61C3" w:rsidRDefault="789145AA" w:rsidP="002F67C6">
            <w:pPr>
              <w:spacing w:before="240" w:after="240"/>
              <w:rPr>
                <w:rFonts w:ascii="Open Sans" w:eastAsia="Helvetica" w:hAnsi="Open Sans" w:cs="Open Sans"/>
                <w:sz w:val="20"/>
                <w:szCs w:val="20"/>
              </w:rPr>
            </w:pPr>
            <w:r w:rsidRPr="004A61C3">
              <w:rPr>
                <w:rFonts w:ascii="Open Sans" w:eastAsia="Helvetica" w:hAnsi="Open Sans" w:cs="Open Sans"/>
                <w:b/>
                <w:color w:val="595959" w:themeColor="text1" w:themeTint="A6"/>
                <w:sz w:val="20"/>
                <w:szCs w:val="20"/>
              </w:rPr>
              <w:t>Dual Functional Unit Approach</w:t>
            </w:r>
            <w:r w:rsidR="0BCC8E3D" w:rsidRPr="004A61C3">
              <w:rPr>
                <w:rFonts w:ascii="Open Sans" w:eastAsia="Helvetica" w:hAnsi="Open Sans" w:cs="Open Sans"/>
                <w:b/>
                <w:color w:val="595959" w:themeColor="text1" w:themeTint="A6"/>
                <w:sz w:val="20"/>
                <w:szCs w:val="20"/>
              </w:rPr>
              <w:t>:</w:t>
            </w:r>
            <w:r w:rsidR="00D9652D" w:rsidRPr="004A61C3">
              <w:rPr>
                <w:rFonts w:ascii="Open Sans" w:eastAsia="Helvetica" w:hAnsi="Open Sans" w:cs="Open Sans"/>
                <w:b/>
                <w:color w:val="595959" w:themeColor="text1" w:themeTint="A6"/>
                <w:sz w:val="20"/>
                <w:szCs w:val="20"/>
              </w:rPr>
              <w:t xml:space="preserve"> </w:t>
            </w:r>
            <w:r w:rsidR="5F8F718B" w:rsidRPr="004A61C3">
              <w:rPr>
                <w:rFonts w:ascii="Open Sans" w:eastAsia="Helvetica" w:hAnsi="Open Sans" w:cs="Open Sans"/>
                <w:color w:val="595959" w:themeColor="text1" w:themeTint="A6"/>
                <w:sz w:val="20"/>
                <w:szCs w:val="20"/>
              </w:rPr>
              <w:t>Does the proposed dual functional unit (iron and crude steel) appropriately balance emissions integrity, decarbonization incentives, clarity, and comparability? If not, what refinements would you suggest</w:t>
            </w:r>
            <w:r w:rsidR="56DAA2B0" w:rsidRPr="004A61C3">
              <w:rPr>
                <w:rFonts w:ascii="Open Sans" w:eastAsia="Helvetica" w:hAnsi="Open Sans" w:cs="Open Sans"/>
                <w:color w:val="595959" w:themeColor="text1" w:themeTint="A6"/>
                <w:sz w:val="20"/>
                <w:szCs w:val="20"/>
              </w:rPr>
              <w:t>?</w:t>
            </w:r>
          </w:p>
        </w:tc>
      </w:tr>
      <w:tr w:rsidR="339B56C9" w14:paraId="3288C572"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53357D3A" w14:textId="77777777" w:rsidR="00043C75" w:rsidRPr="004A61C3" w:rsidRDefault="00043C75">
            <w:pPr>
              <w:rPr>
                <w:rFonts w:ascii="Open Sans" w:hAnsi="Open Sans" w:cs="Open Sans"/>
                <w:b/>
                <w:color w:val="595959" w:themeColor="text1" w:themeTint="A6"/>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FD45E42" w14:textId="7BAFAE1A" w:rsidR="339B56C9" w:rsidRPr="00711CA4" w:rsidRDefault="007A4190" w:rsidP="339B56C9">
            <w:pPr>
              <w:rPr>
                <w:rFonts w:ascii="Open Sans" w:eastAsia="Helvetica" w:hAnsi="Open Sans" w:cs="Open Sans"/>
                <w:b/>
                <w:sz w:val="20"/>
                <w:szCs w:val="20"/>
              </w:rPr>
            </w:pPr>
            <w:r w:rsidRPr="00711CA4">
              <w:rPr>
                <w:rFonts w:ascii="Open Sans" w:eastAsia="Times New Roman" w:hAnsi="Open Sans" w:cs="Open Sans"/>
                <w:b/>
                <w:color w:val="17406D" w:themeColor="text2"/>
                <w:sz w:val="20"/>
                <w:szCs w:val="20"/>
                <w:lang w:val="en-GB"/>
              </w:rPr>
              <w:t>Answer:</w:t>
            </w:r>
          </w:p>
        </w:tc>
      </w:tr>
      <w:tr w:rsidR="339B56C9" w14:paraId="25FC5A66"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5F0C55B" w14:textId="15975AA4" w:rsidR="339B56C9" w:rsidRPr="004A61C3" w:rsidRDefault="00B30CB8" w:rsidP="00AE2C1A">
            <w:pPr>
              <w:spacing w:after="0" w:line="240" w:lineRule="auto"/>
              <w:rPr>
                <w:rFonts w:ascii="Open Sans" w:eastAsia="Times New Roman" w:hAnsi="Open Sans" w:cs="Open Sans"/>
                <w:b/>
                <w:color w:val="595959" w:themeColor="text1" w:themeTint="A6"/>
                <w:sz w:val="18"/>
                <w:szCs w:val="18"/>
                <w:lang w:val="en-GB"/>
              </w:rPr>
            </w:pPr>
            <w:r w:rsidRPr="004A61C3">
              <w:rPr>
                <w:rFonts w:ascii="Open Sans" w:eastAsia="Times New Roman" w:hAnsi="Open Sans" w:cs="Open Sans"/>
                <w:b/>
                <w:color w:val="595959" w:themeColor="text1" w:themeTint="A6"/>
                <w:sz w:val="18"/>
                <w:szCs w:val="18"/>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9986841" w14:textId="59CD7CB1" w:rsidR="339B56C9" w:rsidRPr="004A61C3" w:rsidRDefault="00167A1E" w:rsidP="00C83F07">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Steel Functional Unit:</w:t>
            </w:r>
            <w:r w:rsidR="00D9652D" w:rsidRPr="004A61C3">
              <w:rPr>
                <w:rFonts w:ascii="Open Sans" w:eastAsia="Helvetica" w:hAnsi="Open Sans" w:cs="Open Sans"/>
                <w:b/>
                <w:color w:val="595959" w:themeColor="text1" w:themeTint="A6"/>
                <w:sz w:val="20"/>
                <w:szCs w:val="20"/>
              </w:rPr>
              <w:t xml:space="preserve"> </w:t>
            </w:r>
            <w:r w:rsidR="00C83F07" w:rsidRPr="004A61C3">
              <w:rPr>
                <w:rFonts w:ascii="Open Sans" w:eastAsia="Helvetica" w:hAnsi="Open Sans" w:cs="Open Sans"/>
                <w:color w:val="595959" w:themeColor="text1" w:themeTint="A6"/>
                <w:sz w:val="20"/>
                <w:szCs w:val="20"/>
              </w:rPr>
              <w:t>Do you support defining crude steel as the functional unit for steel products (with potential future expansion to hot-rolled products)? What key considerations should guide this decision?</w:t>
            </w:r>
          </w:p>
        </w:tc>
      </w:tr>
      <w:tr w:rsidR="339B56C9" w14:paraId="60FC9438" w14:textId="77777777" w:rsidTr="005842DD">
        <w:trPr>
          <w:trHeight w:val="720"/>
        </w:trPr>
        <w:tc>
          <w:tcPr>
            <w:tcW w:w="428" w:type="dxa"/>
            <w:vMerge/>
          </w:tcPr>
          <w:p w14:paraId="455FA871" w14:textId="77777777" w:rsidR="00043C75" w:rsidRPr="004A61C3" w:rsidRDefault="00043C75">
            <w:pPr>
              <w:rPr>
                <w:rFonts w:ascii="Open Sans" w:hAnsi="Open Sans" w:cs="Open Sans"/>
              </w:rPr>
            </w:pPr>
          </w:p>
        </w:tc>
        <w:tc>
          <w:tcPr>
            <w:tcW w:w="12501" w:type="dxa"/>
            <w:tcBorders>
              <w:top w:val="single" w:sz="4" w:space="0" w:color="595959" w:themeColor="text1" w:themeTint="A6"/>
              <w:left w:val="single" w:sz="4" w:space="0" w:color="595959" w:themeColor="text1" w:themeTint="A6"/>
              <w:right w:val="single" w:sz="4" w:space="0" w:color="595959" w:themeColor="text1" w:themeTint="A6"/>
            </w:tcBorders>
            <w:vAlign w:val="center"/>
          </w:tcPr>
          <w:p w14:paraId="7ACFCAB6" w14:textId="77777777" w:rsidR="339B56C9" w:rsidRPr="00711CA4" w:rsidRDefault="339B56C9" w:rsidP="00167A1E">
            <w:pPr>
              <w:rPr>
                <w:rFonts w:ascii="Open Sans" w:eastAsia="Calibri" w:hAnsi="Open Sans" w:cs="Open Sans"/>
                <w:color w:val="595959" w:themeColor="text1" w:themeTint="A6"/>
                <w:sz w:val="20"/>
                <w:szCs w:val="20"/>
              </w:rPr>
            </w:pPr>
            <w:r w:rsidRPr="00711CA4">
              <w:rPr>
                <w:rFonts w:ascii="Open Sans" w:eastAsia="Times New Roman" w:hAnsi="Open Sans" w:cs="Open Sans"/>
                <w:b/>
                <w:color w:val="17406D" w:themeColor="text2"/>
                <w:sz w:val="20"/>
                <w:szCs w:val="20"/>
                <w:lang w:val="en-GB"/>
              </w:rPr>
              <w:t>Answer:</w:t>
            </w:r>
          </w:p>
        </w:tc>
      </w:tr>
    </w:tbl>
    <w:p w14:paraId="1D63457B" w14:textId="4953014B" w:rsidR="339B56C9" w:rsidRPr="004A61C3" w:rsidRDefault="339B56C9" w:rsidP="00AE2C1A">
      <w:pPr>
        <w:shd w:val="clear" w:color="auto" w:fill="FFFFFF" w:themeFill="background1"/>
        <w:spacing w:line="240" w:lineRule="auto"/>
        <w:rPr>
          <w:rFonts w:ascii="Open Sans" w:eastAsia="Calibri" w:hAnsi="Open Sans" w:cs="Open Sans"/>
          <w:color w:val="595959" w:themeColor="text1" w:themeTint="A6"/>
          <w:sz w:val="20"/>
          <w:szCs w:val="20"/>
        </w:rPr>
      </w:pPr>
    </w:p>
    <w:p w14:paraId="7434F71A" w14:textId="77777777" w:rsidR="003956DE" w:rsidRPr="004A61C3" w:rsidRDefault="003956DE" w:rsidP="00AE2C1A">
      <w:pPr>
        <w:shd w:val="clear" w:color="auto" w:fill="FFFFFF" w:themeFill="background1"/>
        <w:spacing w:line="240" w:lineRule="auto"/>
        <w:rPr>
          <w:rFonts w:ascii="Open Sans" w:eastAsia="Calibri" w:hAnsi="Open Sans" w:cs="Open Sans"/>
          <w:color w:val="595959" w:themeColor="text1" w:themeTint="A6"/>
          <w:sz w:val="20"/>
          <w:szCs w:val="20"/>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3956DE" w14:paraId="4086D31F"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6D03A967" w14:textId="77777777" w:rsidR="003956DE" w:rsidRPr="00711CA4" w:rsidRDefault="003956DE">
            <w:pPr>
              <w:spacing w:after="0" w:line="240" w:lineRule="auto"/>
              <w:rPr>
                <w:rFonts w:ascii="Open Sans" w:eastAsia="Times New Roman" w:hAnsi="Open Sans" w:cs="Open Sans"/>
                <w:sz w:val="20"/>
                <w:szCs w:val="20"/>
              </w:rPr>
            </w:pPr>
            <w:r w:rsidRPr="00711CA4">
              <w:rPr>
                <w:rFonts w:ascii="Open Sans" w:eastAsia="Times New Roman" w:hAnsi="Open Sans" w:cs="Open Sans"/>
                <w:b/>
                <w:color w:val="FFFFFF" w:themeColor="background1"/>
                <w:sz w:val="20"/>
                <w:szCs w:val="20"/>
                <w:lang w:val="en-GB"/>
              </w:rPr>
              <w:t xml:space="preserve">Section 2.3 Audience and Eligible System Users </w:t>
            </w:r>
          </w:p>
        </w:tc>
      </w:tr>
      <w:tr w:rsidR="003956DE" w:rsidRPr="00415B98" w14:paraId="24F7ED25" w14:textId="77777777" w:rsidTr="00F0778C">
        <w:trPr>
          <w:trHeight w:val="2798"/>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bottom"/>
          </w:tcPr>
          <w:p w14:paraId="0F5E2C19" w14:textId="79532D21" w:rsidR="003956DE" w:rsidRPr="00711CA4" w:rsidRDefault="003956DE" w:rsidP="00F0778C">
            <w:pPr>
              <w:spacing w:after="0" w:line="276" w:lineRule="auto"/>
              <w:rPr>
                <w:rFonts w:ascii="Open Sans" w:eastAsia="Calibri" w:hAnsi="Open Sans" w:cs="Open Sans"/>
                <w:color w:val="595959" w:themeColor="text1" w:themeTint="A6"/>
                <w:sz w:val="20"/>
                <w:szCs w:val="20"/>
              </w:rPr>
            </w:pPr>
            <w:r w:rsidRPr="00711CA4">
              <w:rPr>
                <w:rFonts w:ascii="Open Sans" w:eastAsia="Calibri" w:hAnsi="Open Sans" w:cs="Open Sans"/>
                <w:color w:val="595959" w:themeColor="text1" w:themeTint="A6"/>
                <w:sz w:val="20"/>
                <w:szCs w:val="20"/>
              </w:rPr>
              <w:t xml:space="preserve">This framework is designed for organizations across the iron and steel value chain that seek to credibly transact and claim the environmental attributes of lower-emissions iron and steel independent of physical material flows. It defines </w:t>
            </w:r>
            <w:r w:rsidR="00140F72" w:rsidRPr="00711CA4">
              <w:rPr>
                <w:rFonts w:ascii="Open Sans" w:eastAsia="Calibri" w:hAnsi="Open Sans" w:cs="Open Sans"/>
                <w:color w:val="595959" w:themeColor="text1" w:themeTint="A6"/>
                <w:sz w:val="20"/>
                <w:szCs w:val="20"/>
              </w:rPr>
              <w:t>s</w:t>
            </w:r>
            <w:r w:rsidRPr="00711CA4">
              <w:rPr>
                <w:rFonts w:ascii="Open Sans" w:eastAsia="Calibri" w:hAnsi="Open Sans" w:cs="Open Sans"/>
                <w:color w:val="595959" w:themeColor="text1" w:themeTint="A6"/>
                <w:sz w:val="20"/>
                <w:szCs w:val="20"/>
              </w:rPr>
              <w:t xml:space="preserve">ystem </w:t>
            </w:r>
            <w:r w:rsidR="00140F72" w:rsidRPr="00711CA4">
              <w:rPr>
                <w:rFonts w:ascii="Open Sans" w:eastAsia="Calibri" w:hAnsi="Open Sans" w:cs="Open Sans"/>
                <w:color w:val="595959" w:themeColor="text1" w:themeTint="A6"/>
                <w:sz w:val="20"/>
                <w:szCs w:val="20"/>
              </w:rPr>
              <w:t>u</w:t>
            </w:r>
            <w:r w:rsidRPr="00711CA4">
              <w:rPr>
                <w:rFonts w:ascii="Open Sans" w:eastAsia="Calibri" w:hAnsi="Open Sans" w:cs="Open Sans"/>
                <w:color w:val="595959" w:themeColor="text1" w:themeTint="A6"/>
                <w:sz w:val="20"/>
                <w:szCs w:val="20"/>
              </w:rPr>
              <w:t>ser roles as:</w:t>
            </w:r>
          </w:p>
          <w:p w14:paraId="2ACE7AC6" w14:textId="06F734F1" w:rsidR="003956DE" w:rsidRPr="00711CA4" w:rsidRDefault="003956DE" w:rsidP="00F0778C">
            <w:pPr>
              <w:pStyle w:val="ListParagraph"/>
              <w:numPr>
                <w:ilvl w:val="0"/>
                <w:numId w:val="20"/>
              </w:numPr>
              <w:spacing w:after="0" w:line="276" w:lineRule="auto"/>
              <w:rPr>
                <w:rFonts w:ascii="Open Sans" w:eastAsia="Calibri" w:hAnsi="Open Sans" w:cs="Open Sans"/>
                <w:color w:val="595959" w:themeColor="text1" w:themeTint="A6"/>
                <w:sz w:val="20"/>
                <w:szCs w:val="20"/>
              </w:rPr>
            </w:pPr>
            <w:r w:rsidRPr="00711CA4">
              <w:rPr>
                <w:rFonts w:ascii="Open Sans" w:eastAsia="Calibri" w:hAnsi="Open Sans" w:cs="Open Sans"/>
                <w:b/>
                <w:color w:val="595959" w:themeColor="text1" w:themeTint="A6"/>
                <w:sz w:val="20"/>
                <w:szCs w:val="20"/>
              </w:rPr>
              <w:t>Iron producers</w:t>
            </w:r>
            <w:r w:rsidRPr="00711CA4">
              <w:rPr>
                <w:rFonts w:ascii="Open Sans" w:eastAsia="Calibri" w:hAnsi="Open Sans" w:cs="Open Sans"/>
                <w:color w:val="595959" w:themeColor="text1" w:themeTint="A6"/>
                <w:sz w:val="20"/>
                <w:szCs w:val="20"/>
              </w:rPr>
              <w:t xml:space="preserve"> </w:t>
            </w:r>
            <w:r w:rsidR="00140F72" w:rsidRPr="00711CA4">
              <w:rPr>
                <w:rFonts w:ascii="Open Sans" w:eastAsia="Calibri" w:hAnsi="Open Sans" w:cs="Open Sans"/>
                <w:color w:val="595959" w:themeColor="text1" w:themeTint="A6"/>
                <w:sz w:val="20"/>
                <w:szCs w:val="20"/>
              </w:rPr>
              <w:t xml:space="preserve">— </w:t>
            </w:r>
            <w:r w:rsidRPr="00711CA4">
              <w:rPr>
                <w:rFonts w:ascii="Open Sans" w:eastAsia="Calibri" w:hAnsi="Open Sans" w:cs="Open Sans"/>
                <w:color w:val="595959" w:themeColor="text1" w:themeTint="A6"/>
                <w:sz w:val="20"/>
                <w:szCs w:val="20"/>
              </w:rPr>
              <w:t>may register, hold, and transfer iron BCUs.</w:t>
            </w:r>
          </w:p>
          <w:p w14:paraId="4E48C08A" w14:textId="54B6AEE2" w:rsidR="003956DE" w:rsidRPr="00711CA4" w:rsidRDefault="00924CF0" w:rsidP="00F0778C">
            <w:pPr>
              <w:pStyle w:val="ListParagraph"/>
              <w:numPr>
                <w:ilvl w:val="0"/>
                <w:numId w:val="20"/>
              </w:numPr>
              <w:spacing w:after="0" w:line="276" w:lineRule="auto"/>
              <w:rPr>
                <w:rFonts w:ascii="Open Sans" w:eastAsia="Calibri" w:hAnsi="Open Sans" w:cs="Open Sans"/>
                <w:color w:val="595959" w:themeColor="text1" w:themeTint="A6"/>
                <w:sz w:val="20"/>
                <w:szCs w:val="20"/>
              </w:rPr>
            </w:pPr>
            <w:r w:rsidRPr="00711CA4">
              <w:rPr>
                <w:rFonts w:ascii="Open Sans" w:eastAsia="Calibri" w:hAnsi="Open Sans" w:cs="Open Sans"/>
                <w:b/>
                <w:color w:val="595959" w:themeColor="text1" w:themeTint="A6"/>
                <w:sz w:val="20"/>
                <w:szCs w:val="20"/>
              </w:rPr>
              <w:t>S</w:t>
            </w:r>
            <w:r w:rsidR="003956DE" w:rsidRPr="00711CA4">
              <w:rPr>
                <w:rFonts w:ascii="Open Sans" w:eastAsia="Calibri" w:hAnsi="Open Sans" w:cs="Open Sans"/>
                <w:b/>
                <w:color w:val="595959" w:themeColor="text1" w:themeTint="A6"/>
                <w:sz w:val="20"/>
                <w:szCs w:val="20"/>
              </w:rPr>
              <w:t>teel producers</w:t>
            </w:r>
            <w:r w:rsidR="003956DE" w:rsidRPr="00711CA4">
              <w:rPr>
                <w:rFonts w:ascii="Open Sans" w:eastAsia="Calibri" w:hAnsi="Open Sans" w:cs="Open Sans"/>
                <w:color w:val="595959" w:themeColor="text1" w:themeTint="A6"/>
                <w:sz w:val="20"/>
                <w:szCs w:val="20"/>
              </w:rPr>
              <w:t xml:space="preserve"> </w:t>
            </w:r>
            <w:r w:rsidR="00140F72" w:rsidRPr="00711CA4">
              <w:rPr>
                <w:rFonts w:ascii="Open Sans" w:eastAsia="Calibri" w:hAnsi="Open Sans" w:cs="Open Sans"/>
                <w:color w:val="595959" w:themeColor="text1" w:themeTint="A6"/>
                <w:sz w:val="20"/>
                <w:szCs w:val="20"/>
              </w:rPr>
              <w:t xml:space="preserve">— </w:t>
            </w:r>
            <w:r w:rsidR="003956DE" w:rsidRPr="00711CA4">
              <w:rPr>
                <w:rFonts w:ascii="Open Sans" w:eastAsia="Calibri" w:hAnsi="Open Sans" w:cs="Open Sans"/>
                <w:color w:val="595959" w:themeColor="text1" w:themeTint="A6"/>
                <w:sz w:val="20"/>
                <w:szCs w:val="20"/>
              </w:rPr>
              <w:t>may register, hold, and transfer steel BCUs.</w:t>
            </w:r>
          </w:p>
          <w:p w14:paraId="580F5A54" w14:textId="7F5FE9D1" w:rsidR="003956DE" w:rsidRPr="00711CA4" w:rsidRDefault="003956DE" w:rsidP="00F0778C">
            <w:pPr>
              <w:pStyle w:val="ListParagraph"/>
              <w:numPr>
                <w:ilvl w:val="0"/>
                <w:numId w:val="20"/>
              </w:numPr>
              <w:spacing w:line="278" w:lineRule="auto"/>
              <w:rPr>
                <w:rFonts w:ascii="Open Sans" w:eastAsia="Calibri" w:hAnsi="Open Sans" w:cs="Open Sans"/>
                <w:color w:val="595959" w:themeColor="text1" w:themeTint="A6"/>
                <w:sz w:val="20"/>
                <w:szCs w:val="20"/>
              </w:rPr>
            </w:pPr>
            <w:r w:rsidRPr="00711CA4">
              <w:rPr>
                <w:rFonts w:ascii="Open Sans" w:eastAsia="Calibri" w:hAnsi="Open Sans" w:cs="Open Sans"/>
                <w:b/>
                <w:color w:val="595959" w:themeColor="text1" w:themeTint="A6"/>
                <w:sz w:val="20"/>
                <w:szCs w:val="20"/>
              </w:rPr>
              <w:t>Intermediaries</w:t>
            </w:r>
            <w:r w:rsidRPr="00711CA4">
              <w:rPr>
                <w:rFonts w:ascii="Open Sans" w:eastAsia="Calibri" w:hAnsi="Open Sans" w:cs="Open Sans"/>
                <w:color w:val="595959" w:themeColor="text1" w:themeTint="A6"/>
                <w:sz w:val="20"/>
                <w:szCs w:val="20"/>
              </w:rPr>
              <w:t xml:space="preserve"> </w:t>
            </w:r>
            <w:r w:rsidR="00140F72" w:rsidRPr="00711CA4">
              <w:rPr>
                <w:rFonts w:ascii="Open Sans" w:eastAsia="Calibri" w:hAnsi="Open Sans" w:cs="Open Sans"/>
                <w:color w:val="595959" w:themeColor="text1" w:themeTint="A6"/>
                <w:sz w:val="20"/>
                <w:szCs w:val="20"/>
              </w:rPr>
              <w:t xml:space="preserve">— </w:t>
            </w:r>
            <w:r w:rsidRPr="00711CA4">
              <w:rPr>
                <w:rFonts w:ascii="Open Sans" w:eastAsia="Calibri" w:hAnsi="Open Sans" w:cs="Open Sans"/>
                <w:color w:val="595959" w:themeColor="text1" w:themeTint="A6"/>
                <w:sz w:val="20"/>
                <w:szCs w:val="20"/>
              </w:rPr>
              <w:t>may hold, transfer, and claim (or co-claim) iron and/or steel BCUs in accordance with framework rules but not register BCUs.</w:t>
            </w:r>
          </w:p>
          <w:p w14:paraId="60092D71" w14:textId="1D99EF57" w:rsidR="003956DE" w:rsidRPr="00711CA4" w:rsidRDefault="003956DE" w:rsidP="00F0778C">
            <w:pPr>
              <w:pStyle w:val="ListParagraph"/>
              <w:numPr>
                <w:ilvl w:val="0"/>
                <w:numId w:val="20"/>
              </w:numPr>
              <w:spacing w:line="278" w:lineRule="auto"/>
              <w:rPr>
                <w:rFonts w:ascii="Open Sans" w:eastAsia="Calibri" w:hAnsi="Open Sans" w:cs="Open Sans"/>
                <w:color w:val="595959" w:themeColor="text1" w:themeTint="A6"/>
                <w:sz w:val="20"/>
                <w:szCs w:val="20"/>
              </w:rPr>
            </w:pPr>
            <w:r w:rsidRPr="00711CA4">
              <w:rPr>
                <w:rFonts w:ascii="Open Sans" w:eastAsia="Calibri" w:hAnsi="Open Sans" w:cs="Open Sans"/>
                <w:b/>
                <w:color w:val="595959" w:themeColor="text1" w:themeTint="A6"/>
                <w:sz w:val="20"/>
                <w:szCs w:val="20"/>
              </w:rPr>
              <w:t>Corporate end users</w:t>
            </w:r>
            <w:r w:rsidRPr="00711CA4">
              <w:rPr>
                <w:rFonts w:ascii="Open Sans" w:eastAsia="Calibri" w:hAnsi="Open Sans" w:cs="Open Sans"/>
                <w:color w:val="595959" w:themeColor="text1" w:themeTint="A6"/>
                <w:sz w:val="20"/>
                <w:szCs w:val="20"/>
              </w:rPr>
              <w:t xml:space="preserve"> </w:t>
            </w:r>
            <w:r w:rsidR="00140F72" w:rsidRPr="00711CA4">
              <w:rPr>
                <w:rFonts w:ascii="Open Sans" w:eastAsia="Calibri" w:hAnsi="Open Sans" w:cs="Open Sans"/>
                <w:color w:val="595959" w:themeColor="text1" w:themeTint="A6"/>
                <w:sz w:val="20"/>
                <w:szCs w:val="20"/>
              </w:rPr>
              <w:t xml:space="preserve">— </w:t>
            </w:r>
            <w:r w:rsidRPr="00711CA4">
              <w:rPr>
                <w:rFonts w:ascii="Open Sans" w:eastAsia="Calibri" w:hAnsi="Open Sans" w:cs="Open Sans"/>
                <w:color w:val="595959" w:themeColor="text1" w:themeTint="A6"/>
                <w:sz w:val="20"/>
                <w:szCs w:val="20"/>
              </w:rPr>
              <w:t>may hold and retire iron and/or steel BCUs and make Scope 3 claims consistent with retired units and not register BCUs</w:t>
            </w:r>
            <w:r w:rsidR="00130D34" w:rsidRPr="00711CA4">
              <w:rPr>
                <w:rFonts w:ascii="Open Sans" w:eastAsia="Calibri" w:hAnsi="Open Sans" w:cs="Open Sans"/>
                <w:color w:val="595959" w:themeColor="text1" w:themeTint="A6"/>
                <w:sz w:val="20"/>
                <w:szCs w:val="20"/>
              </w:rPr>
              <w:t>.</w:t>
            </w:r>
          </w:p>
          <w:p w14:paraId="5B213B97" w14:textId="357F8C30" w:rsidR="003956DE" w:rsidRPr="00711CA4" w:rsidRDefault="003956DE" w:rsidP="00F0778C">
            <w:pPr>
              <w:pStyle w:val="ListParagraph"/>
              <w:numPr>
                <w:ilvl w:val="0"/>
                <w:numId w:val="20"/>
              </w:numPr>
              <w:spacing w:line="278" w:lineRule="auto"/>
              <w:contextualSpacing w:val="0"/>
              <w:rPr>
                <w:rFonts w:ascii="Open Sans" w:eastAsia="Calibri" w:hAnsi="Open Sans" w:cs="Open Sans"/>
                <w:color w:val="595959" w:themeColor="text1" w:themeTint="A6"/>
                <w:sz w:val="20"/>
                <w:szCs w:val="20"/>
              </w:rPr>
            </w:pPr>
            <w:r w:rsidRPr="00711CA4">
              <w:rPr>
                <w:rFonts w:ascii="Open Sans" w:eastAsia="Calibri" w:hAnsi="Open Sans" w:cs="Open Sans"/>
                <w:b/>
                <w:color w:val="595959" w:themeColor="text1" w:themeTint="A6"/>
                <w:sz w:val="20"/>
                <w:szCs w:val="20"/>
              </w:rPr>
              <w:t>Auditors</w:t>
            </w:r>
            <w:r w:rsidRPr="00711CA4">
              <w:rPr>
                <w:rFonts w:ascii="Open Sans" w:eastAsia="Calibri" w:hAnsi="Open Sans" w:cs="Open Sans"/>
                <w:color w:val="595959" w:themeColor="text1" w:themeTint="A6"/>
                <w:sz w:val="20"/>
                <w:szCs w:val="20"/>
              </w:rPr>
              <w:t xml:space="preserve"> </w:t>
            </w:r>
            <w:r w:rsidR="00130D34" w:rsidRPr="00711CA4">
              <w:rPr>
                <w:rFonts w:ascii="Open Sans" w:eastAsia="Calibri" w:hAnsi="Open Sans" w:cs="Open Sans"/>
                <w:color w:val="595959" w:themeColor="text1" w:themeTint="A6"/>
                <w:sz w:val="20"/>
                <w:szCs w:val="20"/>
              </w:rPr>
              <w:t xml:space="preserve">— </w:t>
            </w:r>
            <w:r w:rsidRPr="00711CA4">
              <w:rPr>
                <w:rFonts w:ascii="Open Sans" w:eastAsia="Calibri" w:hAnsi="Open Sans" w:cs="Open Sans"/>
                <w:color w:val="595959" w:themeColor="text1" w:themeTint="A6"/>
                <w:sz w:val="20"/>
                <w:szCs w:val="20"/>
              </w:rPr>
              <w:t>may access registry data for verification purposes; may not hold, transfer, register, or retire BCUs.</w:t>
            </w:r>
          </w:p>
        </w:tc>
      </w:tr>
      <w:tr w:rsidR="003956DE" w:rsidRPr="005F3D89" w14:paraId="4B044567"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6515D63" w14:textId="77777777" w:rsidR="003956DE" w:rsidRPr="004A61C3" w:rsidRDefault="003956D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A787A9B" w14:textId="77777777" w:rsidR="003956DE" w:rsidRPr="00711CA4" w:rsidRDefault="003956DE">
            <w:pPr>
              <w:spacing w:before="240" w:after="240"/>
              <w:rPr>
                <w:rFonts w:ascii="Open Sans" w:eastAsia="Helvetica" w:hAnsi="Open Sans" w:cs="Open Sans"/>
                <w:color w:val="595959" w:themeColor="text1" w:themeTint="A6"/>
                <w:sz w:val="20"/>
                <w:szCs w:val="20"/>
              </w:rPr>
            </w:pPr>
            <w:r w:rsidRPr="00711CA4">
              <w:rPr>
                <w:rFonts w:ascii="Open Sans" w:eastAsia="Helvetica" w:hAnsi="Open Sans" w:cs="Open Sans"/>
                <w:b/>
                <w:color w:val="595959" w:themeColor="text1" w:themeTint="A6"/>
                <w:sz w:val="20"/>
                <w:szCs w:val="20"/>
              </w:rPr>
              <w:t>System User Roles:</w:t>
            </w:r>
            <w:r w:rsidRPr="00711CA4">
              <w:rPr>
                <w:rFonts w:ascii="Open Sans" w:eastAsia="Helvetica" w:hAnsi="Open Sans" w:cs="Open Sans"/>
                <w:color w:val="595959" w:themeColor="text1" w:themeTint="A6"/>
                <w:sz w:val="20"/>
                <w:szCs w:val="20"/>
              </w:rPr>
              <w:t xml:space="preserve"> Are the defined system user roles clearly defined, appropriately scoped, and representative of the iron and steel value chain? If not, where is clarification or additional coverage needed?</w:t>
            </w:r>
          </w:p>
        </w:tc>
      </w:tr>
      <w:tr w:rsidR="003956DE" w:rsidRPr="00167A1E" w14:paraId="151E01BD" w14:textId="77777777" w:rsidTr="00711CA4">
        <w:trPr>
          <w:trHeight w:val="566"/>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DE769FD" w14:textId="77777777" w:rsidR="003956DE" w:rsidRPr="004A61C3" w:rsidRDefault="003956DE">
            <w:pPr>
              <w:rPr>
                <w:rFonts w:ascii="Open Sans" w:hAnsi="Open Sans" w:cs="Open Sans"/>
                <w:b/>
                <w:color w:val="595959" w:themeColor="text1" w:themeTint="A6"/>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1DA0C7E" w14:textId="77777777" w:rsidR="003956DE" w:rsidRPr="00711CA4" w:rsidRDefault="003956DE">
            <w:pPr>
              <w:rPr>
                <w:rFonts w:ascii="Open Sans" w:eastAsia="Helvetica" w:hAnsi="Open Sans" w:cs="Open Sans"/>
                <w:b/>
                <w:sz w:val="20"/>
                <w:szCs w:val="20"/>
              </w:rPr>
            </w:pPr>
            <w:r w:rsidRPr="00711CA4">
              <w:rPr>
                <w:rFonts w:ascii="Open Sans" w:eastAsia="Times New Roman" w:hAnsi="Open Sans" w:cs="Open Sans"/>
                <w:b/>
                <w:color w:val="17406D" w:themeColor="text2"/>
                <w:sz w:val="20"/>
                <w:szCs w:val="20"/>
                <w:lang w:val="en-GB"/>
              </w:rPr>
              <w:t>Answer:</w:t>
            </w:r>
          </w:p>
        </w:tc>
      </w:tr>
    </w:tbl>
    <w:p w14:paraId="7436271A" w14:textId="77777777" w:rsidR="003956DE" w:rsidRPr="004A61C3" w:rsidRDefault="003956DE" w:rsidP="00AE2C1A">
      <w:pPr>
        <w:shd w:val="clear" w:color="auto" w:fill="FFFFFF" w:themeFill="background1"/>
        <w:spacing w:line="240" w:lineRule="auto"/>
        <w:rPr>
          <w:rFonts w:ascii="Open Sans" w:eastAsia="Calibri" w:hAnsi="Open Sans" w:cs="Open Sans"/>
          <w:color w:val="595959" w:themeColor="text1" w:themeTint="A6"/>
          <w:sz w:val="20"/>
          <w:szCs w:val="20"/>
        </w:rPr>
      </w:pPr>
    </w:p>
    <w:p w14:paraId="3F57A152" w14:textId="06B9AC0D" w:rsidR="004D53B3" w:rsidRPr="00764D89" w:rsidRDefault="004D53B3" w:rsidP="00AA5017">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 xml:space="preserve">Section 3 Eligibility </w:t>
      </w:r>
      <w:r w:rsidR="00E47D49" w:rsidRPr="00764D89">
        <w:rPr>
          <w:rFonts w:ascii="Open Sans" w:eastAsia="Times New Roman" w:hAnsi="Open Sans" w:cs="Open Sans"/>
          <w:b/>
          <w:color w:val="595959"/>
          <w:sz w:val="20"/>
          <w:szCs w:val="20"/>
          <w:u w:val="single"/>
          <w:lang w:val="en-GB"/>
        </w:rPr>
        <w:t>C</w:t>
      </w:r>
      <w:r w:rsidRPr="00764D89">
        <w:rPr>
          <w:rFonts w:ascii="Open Sans" w:eastAsia="Times New Roman" w:hAnsi="Open Sans" w:cs="Open Sans"/>
          <w:b/>
          <w:color w:val="595959"/>
          <w:sz w:val="20"/>
          <w:szCs w:val="20"/>
          <w:u w:val="single"/>
          <w:lang w:val="en-GB"/>
        </w:rPr>
        <w:t xml:space="preserve">riteria for BCU </w:t>
      </w:r>
      <w:r w:rsidR="00E47D49" w:rsidRPr="00764D89">
        <w:rPr>
          <w:rFonts w:ascii="Open Sans" w:eastAsia="Times New Roman" w:hAnsi="Open Sans" w:cs="Open Sans"/>
          <w:b/>
          <w:color w:val="595959"/>
          <w:sz w:val="20"/>
          <w:szCs w:val="20"/>
          <w:u w:val="single"/>
          <w:lang w:val="en-GB"/>
        </w:rPr>
        <w:t>I</w:t>
      </w:r>
      <w:r w:rsidRPr="00764D89">
        <w:rPr>
          <w:rFonts w:ascii="Open Sans" w:eastAsia="Times New Roman" w:hAnsi="Open Sans" w:cs="Open Sans"/>
          <w:b/>
          <w:color w:val="595959"/>
          <w:sz w:val="20"/>
          <w:szCs w:val="20"/>
          <w:u w:val="single"/>
          <w:lang w:val="en-GB"/>
        </w:rPr>
        <w:t>ssuance</w:t>
      </w:r>
    </w:p>
    <w:p w14:paraId="0A46BBDB" w14:textId="7E14B134" w:rsidR="00AA5017" w:rsidRPr="004A61C3" w:rsidRDefault="00BD5DF1" w:rsidP="00AA5017">
      <w:pPr>
        <w:rPr>
          <w:rFonts w:ascii="Open Sans" w:eastAsia="Calibri" w:hAnsi="Open Sans" w:cs="Open Sans"/>
          <w:color w:val="595959"/>
          <w:sz w:val="20"/>
          <w:szCs w:val="20"/>
        </w:rPr>
      </w:pPr>
      <w:r w:rsidRPr="004A61C3">
        <w:rPr>
          <w:rFonts w:ascii="Open Sans" w:eastAsia="Calibri" w:hAnsi="Open Sans" w:cs="Open Sans"/>
          <w:color w:val="595959"/>
          <w:sz w:val="20"/>
          <w:szCs w:val="20"/>
        </w:rPr>
        <w:t xml:space="preserve">The following requirements define the conditions under which BCUs may be generated to ensure environmental integrity and transition alignment. </w:t>
      </w:r>
    </w:p>
    <w:p w14:paraId="2135984F" w14:textId="1C0A298B" w:rsidR="00BD5DF1" w:rsidRPr="004A61C3" w:rsidRDefault="00BD5DF1" w:rsidP="00AA5017">
      <w:pPr>
        <w:rPr>
          <w:rFonts w:ascii="Open Sans" w:eastAsia="Calibri" w:hAnsi="Open Sans" w:cs="Open Sans"/>
          <w:color w:val="595959"/>
          <w:sz w:val="20"/>
          <w:szCs w:val="20"/>
        </w:rPr>
      </w:pPr>
      <w:r w:rsidRPr="004A61C3">
        <w:rPr>
          <w:rFonts w:ascii="Open Sans" w:eastAsia="Calibri" w:hAnsi="Open Sans" w:cs="Open Sans"/>
          <w:color w:val="595959"/>
          <w:sz w:val="20"/>
          <w:szCs w:val="20"/>
        </w:rPr>
        <w:t>This guidance establishes three core eligibility safeguards for complementary purposes</w:t>
      </w:r>
      <w:r w:rsidR="00AA5017" w:rsidRPr="004A61C3">
        <w:rPr>
          <w:rFonts w:ascii="Open Sans" w:eastAsia="Calibri" w:hAnsi="Open Sans" w:cs="Open Sans"/>
          <w:color w:val="595959"/>
          <w:sz w:val="20"/>
          <w:szCs w:val="20"/>
        </w:rPr>
        <w:t xml:space="preserve"> and applies them at the site</w:t>
      </w:r>
      <w:r w:rsidR="00071FFD">
        <w:rPr>
          <w:rFonts w:ascii="Open Sans" w:eastAsia="Calibri" w:hAnsi="Open Sans" w:cs="Open Sans"/>
          <w:color w:val="595959"/>
          <w:sz w:val="20"/>
          <w:szCs w:val="20"/>
        </w:rPr>
        <w:t xml:space="preserve"> </w:t>
      </w:r>
      <w:r w:rsidR="00AA5017" w:rsidRPr="004A61C3">
        <w:rPr>
          <w:rFonts w:ascii="Open Sans" w:eastAsia="Calibri" w:hAnsi="Open Sans" w:cs="Open Sans"/>
          <w:color w:val="595959"/>
          <w:sz w:val="20"/>
          <w:szCs w:val="20"/>
        </w:rPr>
        <w:t>level to ensure asset-level implementation of deep decarbonization technology:</w:t>
      </w:r>
    </w:p>
    <w:p w14:paraId="2020CC84" w14:textId="77777777" w:rsidR="00BD5DF1" w:rsidRPr="004A61C3" w:rsidRDefault="00BD5DF1" w:rsidP="00AF0622">
      <w:pPr>
        <w:pStyle w:val="ListParagraph"/>
        <w:numPr>
          <w:ilvl w:val="0"/>
          <w:numId w:val="22"/>
        </w:numPr>
        <w:shd w:val="clear" w:color="auto" w:fill="FFFFFF"/>
        <w:spacing w:before="240" w:line="240" w:lineRule="auto"/>
        <w:textAlignment w:val="baseline"/>
        <w:rPr>
          <w:rFonts w:ascii="Open Sans" w:eastAsia="Calibri" w:hAnsi="Open Sans" w:cs="Open Sans"/>
          <w:color w:val="595959"/>
          <w:sz w:val="20"/>
          <w:szCs w:val="20"/>
        </w:rPr>
      </w:pPr>
      <w:r w:rsidRPr="004A61C3">
        <w:rPr>
          <w:rFonts w:ascii="Open Sans" w:eastAsia="Calibri" w:hAnsi="Open Sans" w:cs="Open Sans"/>
          <w:color w:val="595959"/>
          <w:sz w:val="20"/>
          <w:szCs w:val="20"/>
        </w:rPr>
        <w:t>Emissions performance thresholds, which ensure BCUs represent meaningful decarbonization relative to recognized sector benchmarks (Section 3.1).</w:t>
      </w:r>
    </w:p>
    <w:p w14:paraId="2552B82D" w14:textId="77777777" w:rsidR="00BD5DF1" w:rsidRPr="004A61C3" w:rsidRDefault="00BD5DF1" w:rsidP="00AF0622">
      <w:pPr>
        <w:pStyle w:val="ListParagraph"/>
        <w:numPr>
          <w:ilvl w:val="0"/>
          <w:numId w:val="22"/>
        </w:numPr>
        <w:shd w:val="clear" w:color="auto" w:fill="FFFFFF"/>
        <w:spacing w:before="240" w:line="240" w:lineRule="auto"/>
        <w:textAlignment w:val="baseline"/>
        <w:rPr>
          <w:rFonts w:ascii="Open Sans" w:eastAsia="Calibri" w:hAnsi="Open Sans" w:cs="Open Sans"/>
          <w:color w:val="595959"/>
          <w:sz w:val="20"/>
          <w:szCs w:val="20"/>
        </w:rPr>
      </w:pPr>
      <w:r w:rsidRPr="004A61C3">
        <w:rPr>
          <w:rFonts w:ascii="Open Sans" w:eastAsia="Calibri" w:hAnsi="Open Sans" w:cs="Open Sans"/>
          <w:color w:val="595959"/>
          <w:sz w:val="20"/>
          <w:szCs w:val="20"/>
        </w:rPr>
        <w:t>Transition alignment and route-specific criteria, which prevent fossil lock-in and ensure consistency with net-zero pathways (Section 3.2).</w:t>
      </w:r>
    </w:p>
    <w:p w14:paraId="5FC1D4E3" w14:textId="4DC3C7FD" w:rsidR="00AA5017" w:rsidRPr="00816B8C" w:rsidRDefault="00BD5DF1" w:rsidP="00AF0622">
      <w:pPr>
        <w:pStyle w:val="ListParagraph"/>
        <w:numPr>
          <w:ilvl w:val="0"/>
          <w:numId w:val="22"/>
        </w:numPr>
        <w:shd w:val="clear" w:color="auto" w:fill="FFFFFF"/>
        <w:spacing w:before="240" w:line="240" w:lineRule="auto"/>
        <w:textAlignment w:val="baseline"/>
        <w:rPr>
          <w:rFonts w:ascii="Open Sans" w:eastAsia="Calibri" w:hAnsi="Open Sans" w:cs="Open Sans"/>
          <w:color w:val="595959"/>
          <w:sz w:val="20"/>
          <w:szCs w:val="20"/>
        </w:rPr>
      </w:pPr>
      <w:r w:rsidRPr="004A61C3">
        <w:rPr>
          <w:rFonts w:ascii="Open Sans" w:eastAsia="Calibri" w:hAnsi="Open Sans" w:cs="Open Sans"/>
          <w:color w:val="595959"/>
          <w:sz w:val="20"/>
          <w:szCs w:val="20"/>
        </w:rPr>
        <w:t>Additionality requirements, which ensure credited outcomes go beyond regulatory compliance and common practice (Section 3.3).</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663D5D54"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361F34E7" w14:textId="0F0A9735"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lastRenderedPageBreak/>
              <w:t xml:space="preserve">Section 3.1 Emissions </w:t>
            </w:r>
            <w:r w:rsidR="00E47D49">
              <w:rPr>
                <w:rFonts w:ascii="Open Sans" w:eastAsia="Times New Roman" w:hAnsi="Open Sans" w:cs="Open Sans"/>
                <w:b/>
                <w:color w:val="FFFFFF" w:themeColor="background1"/>
                <w:sz w:val="20"/>
                <w:szCs w:val="20"/>
                <w:lang w:val="en-GB"/>
              </w:rPr>
              <w:t>I</w:t>
            </w:r>
            <w:r w:rsidRPr="004A61C3">
              <w:rPr>
                <w:rFonts w:ascii="Open Sans" w:eastAsia="Times New Roman" w:hAnsi="Open Sans" w:cs="Open Sans"/>
                <w:b/>
                <w:color w:val="FFFFFF" w:themeColor="background1"/>
                <w:sz w:val="20"/>
                <w:szCs w:val="20"/>
                <w:lang w:val="en-GB"/>
              </w:rPr>
              <w:t xml:space="preserve">ntensity </w:t>
            </w:r>
            <w:r w:rsidR="00E47D49">
              <w:rPr>
                <w:rFonts w:ascii="Open Sans" w:eastAsia="Times New Roman" w:hAnsi="Open Sans" w:cs="Open Sans"/>
                <w:b/>
                <w:color w:val="FFFFFF" w:themeColor="background1"/>
                <w:sz w:val="20"/>
                <w:szCs w:val="20"/>
                <w:lang w:val="en-GB"/>
              </w:rPr>
              <w:t>T</w:t>
            </w:r>
            <w:r w:rsidRPr="004A61C3">
              <w:rPr>
                <w:rFonts w:ascii="Open Sans" w:eastAsia="Times New Roman" w:hAnsi="Open Sans" w:cs="Open Sans"/>
                <w:b/>
                <w:color w:val="FFFFFF" w:themeColor="background1"/>
                <w:sz w:val="20"/>
                <w:szCs w:val="20"/>
                <w:lang w:val="en-GB"/>
              </w:rPr>
              <w:t>hreshold</w:t>
            </w:r>
          </w:p>
        </w:tc>
      </w:tr>
      <w:tr w:rsidR="0069241E" w:rsidRPr="00F9616D" w14:paraId="4792C1B4" w14:textId="77777777" w:rsidTr="00F0778C">
        <w:trPr>
          <w:trHeight w:val="2528"/>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bottom"/>
          </w:tcPr>
          <w:p w14:paraId="52B53DE5" w14:textId="2CAAAF0D" w:rsidR="0069241E" w:rsidRPr="00816B8C" w:rsidRDefault="0069241E" w:rsidP="00F0778C">
            <w:pPr>
              <w:rPr>
                <w:rFonts w:ascii="Open Sans" w:eastAsia="Calibri" w:hAnsi="Open Sans" w:cs="Open Sans"/>
                <w:color w:val="595959" w:themeColor="text1" w:themeTint="A6"/>
                <w:sz w:val="20"/>
                <w:szCs w:val="20"/>
              </w:rPr>
            </w:pPr>
            <w:r w:rsidRPr="00816B8C">
              <w:rPr>
                <w:rFonts w:ascii="Open Sans" w:eastAsia="Calibri" w:hAnsi="Open Sans" w:cs="Open Sans"/>
                <w:color w:val="595959" w:themeColor="text1" w:themeTint="A6"/>
                <w:sz w:val="20"/>
                <w:szCs w:val="20"/>
              </w:rPr>
              <w:t xml:space="preserve">The </w:t>
            </w:r>
            <w:r w:rsidR="00AC0E25">
              <w:rPr>
                <w:rFonts w:ascii="Open Sans" w:eastAsia="Calibri" w:hAnsi="Open Sans" w:cs="Open Sans"/>
                <w:color w:val="595959" w:themeColor="text1" w:themeTint="A6"/>
                <w:sz w:val="20"/>
                <w:szCs w:val="20"/>
              </w:rPr>
              <w:t>s</w:t>
            </w:r>
            <w:r w:rsidRPr="00816B8C">
              <w:rPr>
                <w:rFonts w:ascii="Open Sans" w:eastAsia="Calibri" w:hAnsi="Open Sans" w:cs="Open Sans"/>
                <w:color w:val="595959" w:themeColor="text1" w:themeTint="A6"/>
                <w:sz w:val="20"/>
                <w:szCs w:val="20"/>
              </w:rPr>
              <w:t>ystem’s emissions intensity threshold refers to the emissions value (t CO</w:t>
            </w:r>
            <w:r w:rsidRPr="00562436">
              <w:rPr>
                <w:rFonts w:ascii="Open Sans" w:eastAsia="Calibri" w:hAnsi="Open Sans" w:cs="Open Sans"/>
                <w:color w:val="595959" w:themeColor="text1" w:themeTint="A6"/>
                <w:sz w:val="20"/>
                <w:szCs w:val="20"/>
                <w:vertAlign w:val="subscript"/>
              </w:rPr>
              <w:t>2</w:t>
            </w:r>
            <w:r w:rsidRPr="00816B8C">
              <w:rPr>
                <w:rFonts w:ascii="Open Sans" w:eastAsia="Calibri" w:hAnsi="Open Sans" w:cs="Open Sans"/>
                <w:color w:val="595959" w:themeColor="text1" w:themeTint="A6"/>
                <w:sz w:val="20"/>
                <w:szCs w:val="20"/>
              </w:rPr>
              <w:t xml:space="preserve">e per ton product unit) required to qualify for the </w:t>
            </w:r>
            <w:r w:rsidR="00071FFD">
              <w:rPr>
                <w:rFonts w:ascii="Open Sans" w:eastAsia="Calibri" w:hAnsi="Open Sans" w:cs="Open Sans"/>
                <w:color w:val="595959" w:themeColor="text1" w:themeTint="A6"/>
                <w:sz w:val="20"/>
                <w:szCs w:val="20"/>
              </w:rPr>
              <w:t>s</w:t>
            </w:r>
            <w:r w:rsidRPr="00816B8C">
              <w:rPr>
                <w:rFonts w:ascii="Open Sans" w:eastAsia="Calibri" w:hAnsi="Open Sans" w:cs="Open Sans"/>
                <w:color w:val="595959" w:themeColor="text1" w:themeTint="A6"/>
                <w:sz w:val="20"/>
                <w:szCs w:val="20"/>
              </w:rPr>
              <w:t>ystem:</w:t>
            </w:r>
          </w:p>
          <w:p w14:paraId="319AF5BA" w14:textId="2B0A5E5D" w:rsidR="0069241E" w:rsidRPr="00816B8C" w:rsidRDefault="0069241E" w:rsidP="00F0778C">
            <w:pPr>
              <w:pStyle w:val="ListParagraph"/>
              <w:numPr>
                <w:ilvl w:val="0"/>
                <w:numId w:val="21"/>
              </w:numPr>
              <w:spacing w:line="278" w:lineRule="auto"/>
              <w:rPr>
                <w:rFonts w:ascii="Open Sans" w:eastAsia="Calibri" w:hAnsi="Open Sans" w:cs="Open Sans"/>
                <w:b/>
                <w:color w:val="595959" w:themeColor="text1" w:themeTint="A6"/>
                <w:sz w:val="20"/>
                <w:szCs w:val="20"/>
              </w:rPr>
            </w:pPr>
            <w:r w:rsidRPr="00816B8C">
              <w:rPr>
                <w:rFonts w:ascii="Open Sans" w:eastAsia="Calibri" w:hAnsi="Open Sans" w:cs="Open Sans"/>
                <w:b/>
                <w:color w:val="595959" w:themeColor="text1" w:themeTint="A6"/>
                <w:sz w:val="20"/>
                <w:szCs w:val="20"/>
              </w:rPr>
              <w:t>Ironmaking site generating EACs for iron products</w:t>
            </w:r>
            <w:r w:rsidRPr="00816B8C">
              <w:rPr>
                <w:rFonts w:ascii="Open Sans" w:eastAsia="Calibri" w:hAnsi="Open Sans" w:cs="Open Sans"/>
                <w:color w:val="595959" w:themeColor="text1" w:themeTint="A6"/>
                <w:sz w:val="20"/>
                <w:szCs w:val="20"/>
              </w:rPr>
              <w:t xml:space="preserve"> shall meet a Responsible Steel Decarbonization Progress Level 3 (</w:t>
            </w:r>
            <w:r w:rsidR="00977FEF" w:rsidRPr="00816B8C">
              <w:rPr>
                <w:rFonts w:ascii="Open Sans" w:eastAsia="Calibri" w:hAnsi="Open Sans" w:cs="Open Sans"/>
                <w:color w:val="595959" w:themeColor="text1" w:themeTint="A6"/>
                <w:sz w:val="20"/>
                <w:szCs w:val="20"/>
              </w:rPr>
              <w:t>D</w:t>
            </w:r>
            <w:r w:rsidR="00D26B21" w:rsidRPr="00816B8C">
              <w:rPr>
                <w:rFonts w:ascii="Open Sans" w:eastAsia="Calibri" w:hAnsi="Open Sans" w:cs="Open Sans"/>
                <w:color w:val="595959" w:themeColor="text1" w:themeTint="A6"/>
                <w:sz w:val="20"/>
                <w:szCs w:val="20"/>
              </w:rPr>
              <w:t>PL3</w:t>
            </w:r>
            <w:r w:rsidRPr="00816B8C">
              <w:rPr>
                <w:rFonts w:ascii="Open Sans" w:eastAsia="Calibri" w:hAnsi="Open Sans" w:cs="Open Sans"/>
                <w:color w:val="595959" w:themeColor="text1" w:themeTint="A6"/>
                <w:sz w:val="20"/>
                <w:szCs w:val="20"/>
              </w:rPr>
              <w:t xml:space="preserve">)-equivalent threshold of </w:t>
            </w:r>
            <w:r w:rsidRPr="00816B8C">
              <w:rPr>
                <w:rFonts w:ascii="Open Sans" w:eastAsia="Calibri" w:hAnsi="Open Sans" w:cs="Open Sans"/>
                <w:b/>
                <w:color w:val="595959" w:themeColor="text1" w:themeTint="A6"/>
                <w:sz w:val="20"/>
                <w:szCs w:val="20"/>
              </w:rPr>
              <w:t>1 t CO</w:t>
            </w:r>
            <w:r w:rsidRPr="00562436">
              <w:rPr>
                <w:rFonts w:ascii="Open Sans" w:eastAsia="Calibri" w:hAnsi="Open Sans" w:cs="Open Sans"/>
                <w:b/>
                <w:color w:val="595959" w:themeColor="text1" w:themeTint="A6"/>
                <w:sz w:val="20"/>
                <w:szCs w:val="20"/>
                <w:vertAlign w:val="subscript"/>
              </w:rPr>
              <w:t>2</w:t>
            </w:r>
            <w:r w:rsidRPr="00816B8C">
              <w:rPr>
                <w:rFonts w:ascii="Open Sans" w:eastAsia="Calibri" w:hAnsi="Open Sans" w:cs="Open Sans"/>
                <w:b/>
                <w:color w:val="595959" w:themeColor="text1" w:themeTint="A6"/>
                <w:sz w:val="20"/>
                <w:szCs w:val="20"/>
              </w:rPr>
              <w:t xml:space="preserve">e per ton of iron. </w:t>
            </w:r>
          </w:p>
          <w:p w14:paraId="20D1B8EA" w14:textId="019046B1" w:rsidR="0069241E" w:rsidRPr="00816B8C" w:rsidRDefault="0069241E" w:rsidP="00F0778C">
            <w:pPr>
              <w:pStyle w:val="ListParagraph"/>
              <w:numPr>
                <w:ilvl w:val="0"/>
                <w:numId w:val="21"/>
              </w:numPr>
              <w:spacing w:line="278" w:lineRule="auto"/>
              <w:rPr>
                <w:rFonts w:ascii="Open Sans" w:eastAsia="Calibri" w:hAnsi="Open Sans" w:cs="Open Sans"/>
                <w:color w:val="595959" w:themeColor="text1" w:themeTint="A6"/>
                <w:sz w:val="20"/>
                <w:szCs w:val="20"/>
              </w:rPr>
            </w:pPr>
            <w:r w:rsidRPr="00816B8C">
              <w:rPr>
                <w:rFonts w:ascii="Open Sans" w:eastAsia="Calibri" w:hAnsi="Open Sans" w:cs="Open Sans"/>
                <w:b/>
                <w:color w:val="595959" w:themeColor="text1" w:themeTint="A6"/>
                <w:sz w:val="20"/>
                <w:szCs w:val="20"/>
              </w:rPr>
              <w:t>Steelmaking site generating EACs for crude steel products</w:t>
            </w:r>
            <w:r w:rsidRPr="00816B8C">
              <w:rPr>
                <w:rFonts w:ascii="Open Sans" w:eastAsia="Calibri" w:hAnsi="Open Sans" w:cs="Open Sans"/>
                <w:color w:val="595959" w:themeColor="text1" w:themeTint="A6"/>
                <w:sz w:val="20"/>
                <w:szCs w:val="20"/>
              </w:rPr>
              <w:t xml:space="preserve"> shall meet at least </w:t>
            </w:r>
            <w:r w:rsidR="00977FEF" w:rsidRPr="00816B8C">
              <w:rPr>
                <w:rFonts w:ascii="Open Sans" w:eastAsia="Calibri" w:hAnsi="Open Sans" w:cs="Open Sans"/>
                <w:color w:val="595959" w:themeColor="text1" w:themeTint="A6"/>
                <w:sz w:val="20"/>
                <w:szCs w:val="20"/>
              </w:rPr>
              <w:t>D</w:t>
            </w:r>
            <w:r w:rsidR="00D26B21" w:rsidRPr="00816B8C">
              <w:rPr>
                <w:rFonts w:ascii="Open Sans" w:eastAsia="Calibri" w:hAnsi="Open Sans" w:cs="Open Sans"/>
                <w:color w:val="595959" w:themeColor="text1" w:themeTint="A6"/>
                <w:sz w:val="20"/>
                <w:szCs w:val="20"/>
              </w:rPr>
              <w:t>PL3</w:t>
            </w:r>
            <w:r w:rsidRPr="00816B8C">
              <w:rPr>
                <w:rFonts w:ascii="Open Sans" w:eastAsia="Calibri" w:hAnsi="Open Sans" w:cs="Open Sans"/>
                <w:color w:val="595959" w:themeColor="text1" w:themeTint="A6"/>
                <w:sz w:val="20"/>
                <w:szCs w:val="20"/>
              </w:rPr>
              <w:t xml:space="preserve"> or an equivalent level from other standards, corresponding to </w:t>
            </w:r>
            <w:r w:rsidRPr="00816B8C">
              <w:rPr>
                <w:rFonts w:ascii="Open Sans" w:eastAsia="Calibri" w:hAnsi="Open Sans" w:cs="Open Sans"/>
                <w:b/>
                <w:color w:val="595959" w:themeColor="text1" w:themeTint="A6"/>
                <w:sz w:val="20"/>
                <w:szCs w:val="20"/>
              </w:rPr>
              <w:t>0.2</w:t>
            </w:r>
            <w:r w:rsidR="000100D5">
              <w:rPr>
                <w:rFonts w:ascii="Open Sans" w:eastAsia="Calibri" w:hAnsi="Open Sans" w:cs="Open Sans"/>
                <w:b/>
                <w:color w:val="595959" w:themeColor="text1" w:themeTint="A6"/>
                <w:sz w:val="20"/>
                <w:szCs w:val="20"/>
              </w:rPr>
              <w:t>–</w:t>
            </w:r>
            <w:r w:rsidRPr="00816B8C">
              <w:rPr>
                <w:rFonts w:ascii="Open Sans" w:eastAsia="Calibri" w:hAnsi="Open Sans" w:cs="Open Sans"/>
                <w:b/>
                <w:color w:val="595959" w:themeColor="text1" w:themeTint="A6"/>
                <w:sz w:val="20"/>
                <w:szCs w:val="20"/>
              </w:rPr>
              <w:t>1.2 t CO</w:t>
            </w:r>
            <w:r w:rsidRPr="00562436">
              <w:rPr>
                <w:rFonts w:ascii="Open Sans" w:eastAsia="Calibri" w:hAnsi="Open Sans" w:cs="Open Sans"/>
                <w:b/>
                <w:color w:val="595959" w:themeColor="text1" w:themeTint="A6"/>
                <w:sz w:val="20"/>
                <w:szCs w:val="20"/>
                <w:vertAlign w:val="subscript"/>
              </w:rPr>
              <w:t>2</w:t>
            </w:r>
            <w:r w:rsidRPr="00816B8C">
              <w:rPr>
                <w:rFonts w:ascii="Open Sans" w:eastAsia="Calibri" w:hAnsi="Open Sans" w:cs="Open Sans"/>
                <w:b/>
                <w:color w:val="595959" w:themeColor="text1" w:themeTint="A6"/>
                <w:sz w:val="20"/>
                <w:szCs w:val="20"/>
              </w:rPr>
              <w:t>e per ton of crude steel</w:t>
            </w:r>
            <w:r w:rsidRPr="00816B8C">
              <w:rPr>
                <w:rFonts w:ascii="Open Sans" w:eastAsia="Calibri" w:hAnsi="Open Sans" w:cs="Open Sans"/>
                <w:color w:val="595959" w:themeColor="text1" w:themeTint="A6"/>
                <w:sz w:val="20"/>
                <w:szCs w:val="20"/>
              </w:rPr>
              <w:t>, depending on the scrap share of metallic input.</w:t>
            </w:r>
          </w:p>
          <w:p w14:paraId="5EDC616F" w14:textId="16F4962C" w:rsidR="0069241E" w:rsidRPr="004A61C3" w:rsidRDefault="0069241E" w:rsidP="00F0778C">
            <w:pPr>
              <w:rPr>
                <w:rFonts w:ascii="Open Sans" w:eastAsia="Calibri" w:hAnsi="Open Sans" w:cs="Open Sans"/>
                <w:color w:val="595959" w:themeColor="text1" w:themeTint="A6"/>
                <w:sz w:val="20"/>
                <w:szCs w:val="20"/>
              </w:rPr>
            </w:pPr>
            <w:r w:rsidRPr="00816B8C">
              <w:rPr>
                <w:rFonts w:ascii="Open Sans" w:eastAsia="Calibri" w:hAnsi="Open Sans" w:cs="Open Sans"/>
                <w:color w:val="595959" w:themeColor="text1" w:themeTint="A6"/>
                <w:sz w:val="20"/>
                <w:szCs w:val="20"/>
              </w:rPr>
              <w:t xml:space="preserve">Products achieving </w:t>
            </w:r>
            <w:r w:rsidR="00977FEF" w:rsidRPr="00816B8C">
              <w:rPr>
                <w:rFonts w:ascii="Open Sans" w:eastAsia="Calibri" w:hAnsi="Open Sans" w:cs="Open Sans"/>
                <w:color w:val="595959" w:themeColor="text1" w:themeTint="A6"/>
                <w:sz w:val="20"/>
                <w:szCs w:val="20"/>
              </w:rPr>
              <w:t>D</w:t>
            </w:r>
            <w:r w:rsidR="00D26B21" w:rsidRPr="00816B8C">
              <w:rPr>
                <w:rFonts w:ascii="Open Sans" w:eastAsia="Calibri" w:hAnsi="Open Sans" w:cs="Open Sans"/>
                <w:color w:val="595959" w:themeColor="text1" w:themeTint="A6"/>
                <w:sz w:val="20"/>
                <w:szCs w:val="20"/>
              </w:rPr>
              <w:t>PL4</w:t>
            </w:r>
            <w:r w:rsidRPr="00816B8C">
              <w:rPr>
                <w:rFonts w:ascii="Open Sans" w:eastAsia="Calibri" w:hAnsi="Open Sans" w:cs="Open Sans"/>
                <w:color w:val="595959" w:themeColor="text1" w:themeTint="A6"/>
                <w:sz w:val="20"/>
                <w:szCs w:val="20"/>
              </w:rPr>
              <w:t xml:space="preserve"> or near-zero emissions status may be designated "SSBP-preferred” to signal leadership and support supplier progression toward net</w:t>
            </w:r>
            <w:r w:rsidR="000100D5">
              <w:rPr>
                <w:rFonts w:ascii="Open Sans" w:eastAsia="Calibri" w:hAnsi="Open Sans" w:cs="Open Sans"/>
                <w:color w:val="595959" w:themeColor="text1" w:themeTint="A6"/>
                <w:sz w:val="20"/>
                <w:szCs w:val="20"/>
              </w:rPr>
              <w:t xml:space="preserve"> </w:t>
            </w:r>
            <w:r w:rsidRPr="00816B8C">
              <w:rPr>
                <w:rFonts w:ascii="Open Sans" w:eastAsia="Calibri" w:hAnsi="Open Sans" w:cs="Open Sans"/>
                <w:color w:val="595959" w:themeColor="text1" w:themeTint="A6"/>
                <w:sz w:val="20"/>
                <w:szCs w:val="20"/>
              </w:rPr>
              <w:t xml:space="preserve">zero. </w:t>
            </w:r>
          </w:p>
        </w:tc>
      </w:tr>
      <w:tr w:rsidR="0069241E" w:rsidRPr="00F9616D" w14:paraId="6A4D6089"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41E032F"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E6D1862" w14:textId="5FFBB8C9" w:rsidR="0069241E" w:rsidRPr="004A61C3" w:rsidRDefault="0069241E">
            <w:pPr>
              <w:spacing w:before="240" w:after="240"/>
              <w:rPr>
                <w:rFonts w:ascii="Open Sans" w:eastAsia="Helvetica" w:hAnsi="Open Sans" w:cs="Open Sans"/>
                <w:color w:val="595959" w:themeColor="text1" w:themeTint="A6"/>
                <w:sz w:val="20"/>
                <w:szCs w:val="20"/>
              </w:rPr>
            </w:pPr>
            <w:r w:rsidRPr="00816B8C">
              <w:rPr>
                <w:rFonts w:ascii="Open Sans" w:eastAsia="Helvetica" w:hAnsi="Open Sans" w:cs="Open Sans"/>
                <w:b/>
                <w:color w:val="595959" w:themeColor="text1" w:themeTint="A6"/>
                <w:sz w:val="20"/>
                <w:szCs w:val="20"/>
              </w:rPr>
              <w:t xml:space="preserve">Emissions Performance Boundary: </w:t>
            </w:r>
            <w:r w:rsidRPr="00816B8C">
              <w:rPr>
                <w:rFonts w:ascii="Open Sans" w:eastAsia="Helvetica" w:hAnsi="Open Sans" w:cs="Open Sans"/>
                <w:color w:val="595959" w:themeColor="text1" w:themeTint="A6"/>
                <w:sz w:val="20"/>
                <w:szCs w:val="20"/>
              </w:rPr>
              <w:t>Do you agree emissions performance eligibility shall be assessed at the site level to ensure asset-level implementation of deep-decarbonization technology? If not, what practical challenge would you have?</w:t>
            </w:r>
          </w:p>
        </w:tc>
      </w:tr>
      <w:tr w:rsidR="0069241E" w:rsidRPr="00F9616D" w14:paraId="59A8CEF4"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357D480E"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2420439"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479CAF8B" w14:textId="77777777" w:rsidTr="00C275EE">
        <w:trPr>
          <w:trHeight w:val="845"/>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215DDEAA" w14:textId="507F2C62"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933E9CA" w14:textId="2CC2D1F9" w:rsidR="0069241E" w:rsidRPr="00816B8C" w:rsidRDefault="00977FEF">
            <w:pPr>
              <w:spacing w:before="240" w:after="240"/>
              <w:rPr>
                <w:rFonts w:ascii="Open Sans" w:eastAsia="Times New Roman" w:hAnsi="Open Sans" w:cs="Open Sans"/>
                <w:b/>
                <w:color w:val="595959" w:themeColor="text1" w:themeTint="A6"/>
                <w:sz w:val="20"/>
                <w:szCs w:val="20"/>
                <w:lang w:val="en-GB"/>
              </w:rPr>
            </w:pPr>
            <w:r w:rsidRPr="00816B8C">
              <w:rPr>
                <w:rFonts w:ascii="Open Sans" w:eastAsia="Helvetica" w:hAnsi="Open Sans" w:cs="Open Sans"/>
                <w:b/>
                <w:color w:val="595959" w:themeColor="text1" w:themeTint="A6"/>
                <w:sz w:val="20"/>
                <w:szCs w:val="20"/>
              </w:rPr>
              <w:t>D</w:t>
            </w:r>
            <w:r w:rsidR="00FB66A9" w:rsidRPr="00816B8C">
              <w:rPr>
                <w:rFonts w:ascii="Open Sans" w:eastAsia="Helvetica" w:hAnsi="Open Sans" w:cs="Open Sans"/>
                <w:b/>
                <w:color w:val="595959" w:themeColor="text1" w:themeTint="A6"/>
                <w:sz w:val="20"/>
                <w:szCs w:val="20"/>
              </w:rPr>
              <w:t>PL3</w:t>
            </w:r>
            <w:r w:rsidR="0069241E" w:rsidRPr="00816B8C">
              <w:rPr>
                <w:rFonts w:ascii="Open Sans" w:eastAsia="Helvetica" w:hAnsi="Open Sans" w:cs="Open Sans"/>
                <w:b/>
                <w:color w:val="595959" w:themeColor="text1" w:themeTint="A6"/>
                <w:sz w:val="20"/>
                <w:szCs w:val="20"/>
              </w:rPr>
              <w:t xml:space="preserve"> Iron Threshold Methodology</w:t>
            </w:r>
            <w:r w:rsidR="0069241E" w:rsidRPr="00816B8C">
              <w:rPr>
                <w:rFonts w:ascii="Open Sans" w:eastAsia="Helvetica" w:hAnsi="Open Sans" w:cs="Open Sans"/>
                <w:color w:val="595959" w:themeColor="text1" w:themeTint="A6"/>
                <w:sz w:val="20"/>
                <w:szCs w:val="20"/>
              </w:rPr>
              <w:t>: Is the current methodology for deriving iron thresholds f</w:t>
            </w:r>
            <w:r w:rsidR="000D4B45">
              <w:rPr>
                <w:rFonts w:ascii="Open Sans" w:eastAsia="Helvetica" w:hAnsi="Open Sans" w:cs="Open Sans"/>
                <w:color w:val="595959" w:themeColor="text1" w:themeTint="A6"/>
                <w:sz w:val="20"/>
                <w:szCs w:val="20"/>
              </w:rPr>
              <w:t>rom</w:t>
            </w:r>
            <w:r w:rsidR="0069241E" w:rsidRPr="00816B8C">
              <w:rPr>
                <w:rFonts w:ascii="Open Sans" w:eastAsia="Helvetica" w:hAnsi="Open Sans" w:cs="Open Sans"/>
                <w:color w:val="595959" w:themeColor="text1" w:themeTint="A6"/>
                <w:sz w:val="20"/>
                <w:szCs w:val="20"/>
              </w:rPr>
              <w:t xml:space="preserve"> </w:t>
            </w:r>
            <w:r w:rsidR="000D4B45">
              <w:rPr>
                <w:rFonts w:ascii="Open Sans" w:eastAsia="Helvetica" w:hAnsi="Open Sans" w:cs="Open Sans"/>
                <w:color w:val="595959" w:themeColor="text1" w:themeTint="A6"/>
                <w:sz w:val="20"/>
                <w:szCs w:val="20"/>
              </w:rPr>
              <w:t>D</w:t>
            </w:r>
            <w:r w:rsidR="00FB66A9" w:rsidRPr="00816B8C">
              <w:rPr>
                <w:rFonts w:ascii="Open Sans" w:eastAsia="Helvetica" w:hAnsi="Open Sans" w:cs="Open Sans"/>
                <w:color w:val="595959" w:themeColor="text1" w:themeTint="A6"/>
                <w:sz w:val="20"/>
                <w:szCs w:val="20"/>
              </w:rPr>
              <w:t>PL3</w:t>
            </w:r>
            <w:r w:rsidR="0069241E" w:rsidRPr="00816B8C">
              <w:rPr>
                <w:rFonts w:ascii="Open Sans" w:eastAsia="Helvetica" w:hAnsi="Open Sans" w:cs="Open Sans"/>
                <w:color w:val="595959" w:themeColor="text1" w:themeTint="A6"/>
                <w:sz w:val="20"/>
                <w:szCs w:val="20"/>
              </w:rPr>
              <w:t xml:space="preserve"> technically sound and appropriately calibrated? If not, what refinements or additional adjustments are needed?</w:t>
            </w:r>
          </w:p>
        </w:tc>
      </w:tr>
      <w:tr w:rsidR="0069241E" w:rsidRPr="00F9616D" w14:paraId="0E3E20C1"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1073412"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C6588CD"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34CE572F"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07B3E65" w14:textId="77CC9A92"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3155799" w14:textId="51A00A51"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5F6709">
              <w:rPr>
                <w:rFonts w:ascii="Open Sans" w:eastAsia="Helvetica" w:hAnsi="Open Sans" w:cs="Open Sans"/>
                <w:b/>
                <w:color w:val="595959" w:themeColor="text1" w:themeTint="A6"/>
                <w:sz w:val="20"/>
                <w:szCs w:val="20"/>
              </w:rPr>
              <w:t xml:space="preserve">Iron Content Requirement: </w:t>
            </w:r>
            <w:r w:rsidR="00596F23" w:rsidRPr="00596F23">
              <w:rPr>
                <w:rFonts w:ascii="Open Sans" w:eastAsia="Helvetica" w:hAnsi="Open Sans" w:cs="Open Sans"/>
                <w:color w:val="595959" w:themeColor="text1" w:themeTint="A6"/>
                <w:sz w:val="20"/>
                <w:szCs w:val="20"/>
              </w:rPr>
              <w:t xml:space="preserve">The </w:t>
            </w:r>
            <w:r w:rsidR="00ED4781">
              <w:rPr>
                <w:rFonts w:ascii="Open Sans" w:eastAsia="Helvetica" w:hAnsi="Open Sans" w:cs="Open Sans"/>
                <w:color w:val="595959" w:themeColor="text1" w:themeTint="A6"/>
                <w:sz w:val="20"/>
                <w:szCs w:val="20"/>
              </w:rPr>
              <w:t>s</w:t>
            </w:r>
            <w:r w:rsidR="00596F23" w:rsidRPr="00596F23">
              <w:rPr>
                <w:rFonts w:ascii="Open Sans" w:eastAsia="Helvetica" w:hAnsi="Open Sans" w:cs="Open Sans"/>
                <w:color w:val="595959" w:themeColor="text1" w:themeTint="A6"/>
                <w:sz w:val="20"/>
                <w:szCs w:val="20"/>
              </w:rPr>
              <w:t xml:space="preserve">ystem requires </w:t>
            </w:r>
            <w:r w:rsidR="00ED4781">
              <w:rPr>
                <w:rFonts w:ascii="Open Sans" w:eastAsia="Helvetica" w:hAnsi="Open Sans" w:cs="Open Sans"/>
                <w:color w:val="595959" w:themeColor="text1" w:themeTint="A6"/>
                <w:sz w:val="20"/>
                <w:szCs w:val="20"/>
              </w:rPr>
              <w:t xml:space="preserve">that </w:t>
            </w:r>
            <w:r w:rsidR="00596F23" w:rsidRPr="00596F23">
              <w:rPr>
                <w:rFonts w:ascii="Open Sans" w:eastAsia="Helvetica" w:hAnsi="Open Sans" w:cs="Open Sans"/>
                <w:color w:val="595959" w:themeColor="text1" w:themeTint="A6"/>
                <w:sz w:val="20"/>
                <w:szCs w:val="20"/>
              </w:rPr>
              <w:t xml:space="preserve">iron products eligible for generating EACs contain at least 90% metallic Fe to ensure fair comparison against </w:t>
            </w:r>
            <w:r w:rsidR="00ED4781">
              <w:rPr>
                <w:rFonts w:ascii="Open Sans" w:eastAsia="Helvetica" w:hAnsi="Open Sans" w:cs="Open Sans"/>
                <w:color w:val="595959" w:themeColor="text1" w:themeTint="A6"/>
                <w:sz w:val="20"/>
                <w:szCs w:val="20"/>
              </w:rPr>
              <w:t xml:space="preserve">the </w:t>
            </w:r>
            <w:r w:rsidR="00596F23" w:rsidRPr="00596F23">
              <w:rPr>
                <w:rFonts w:ascii="Open Sans" w:eastAsia="Helvetica" w:hAnsi="Open Sans" w:cs="Open Sans"/>
                <w:color w:val="595959" w:themeColor="text1" w:themeTint="A6"/>
                <w:sz w:val="20"/>
                <w:szCs w:val="20"/>
              </w:rPr>
              <w:t xml:space="preserve">iron threshold. </w:t>
            </w:r>
            <w:r w:rsidRPr="00596F23">
              <w:rPr>
                <w:rFonts w:ascii="Open Sans" w:eastAsia="Helvetica" w:hAnsi="Open Sans" w:cs="Open Sans"/>
                <w:color w:val="595959" w:themeColor="text1" w:themeTint="A6"/>
                <w:sz w:val="20"/>
                <w:szCs w:val="20"/>
              </w:rPr>
              <w:t xml:space="preserve">Is </w:t>
            </w:r>
            <w:r w:rsidR="00596F23" w:rsidRPr="00596F23">
              <w:rPr>
                <w:rFonts w:ascii="Open Sans" w:eastAsia="Helvetica" w:hAnsi="Open Sans" w:cs="Open Sans"/>
                <w:color w:val="595959" w:themeColor="text1" w:themeTint="A6"/>
                <w:sz w:val="20"/>
                <w:szCs w:val="20"/>
              </w:rPr>
              <w:t>this</w:t>
            </w:r>
            <w:r w:rsidRPr="005F6709">
              <w:rPr>
                <w:rFonts w:ascii="Open Sans" w:eastAsia="Helvetica" w:hAnsi="Open Sans" w:cs="Open Sans"/>
                <w:color w:val="595959" w:themeColor="text1" w:themeTint="A6"/>
                <w:sz w:val="20"/>
                <w:szCs w:val="20"/>
              </w:rPr>
              <w:t xml:space="preserve"> proposed iron content feasible in practice? If not, what implementation challenges or modifications should be considered?</w:t>
            </w:r>
          </w:p>
        </w:tc>
      </w:tr>
      <w:tr w:rsidR="0069241E" w:rsidRPr="00F9616D" w14:paraId="7A9F0778"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AF379CE"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994C039"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160ECF01" w14:textId="77777777" w:rsidR="0027109C" w:rsidRPr="004A61C3" w:rsidRDefault="0027109C"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0A637E" w:rsidRPr="00F9616D" w14:paraId="7FF1FCDE"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069E3F60" w14:textId="77777777" w:rsidR="000A637E" w:rsidRPr="004A61C3" w:rsidRDefault="000A637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lastRenderedPageBreak/>
              <w:t>Section 3.2 Transition Alignment Requirements</w:t>
            </w:r>
          </w:p>
        </w:tc>
      </w:tr>
      <w:tr w:rsidR="000A637E" w:rsidRPr="00F9616D" w14:paraId="7E9B53D2" w14:textId="77777777" w:rsidTr="002748B4">
        <w:trPr>
          <w:trHeight w:val="2942"/>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bottom"/>
          </w:tcPr>
          <w:p w14:paraId="017EDD4B" w14:textId="77777777" w:rsidR="000A637E" w:rsidRPr="00B407B5" w:rsidRDefault="000A637E" w:rsidP="002748B4">
            <w:pPr>
              <w:pStyle w:val="NormalWeb"/>
              <w:rPr>
                <w:rFonts w:ascii="Open Sans" w:hAnsi="Open Sans" w:cs="Open Sans"/>
                <w:color w:val="595959" w:themeColor="text1" w:themeTint="A6"/>
                <w:sz w:val="20"/>
                <w:szCs w:val="20"/>
              </w:rPr>
            </w:pPr>
            <w:r w:rsidRPr="00B407B5">
              <w:rPr>
                <w:rFonts w:ascii="Open Sans" w:hAnsi="Open Sans" w:cs="Open Sans"/>
                <w:color w:val="595959" w:themeColor="text1" w:themeTint="A6"/>
                <w:sz w:val="20"/>
                <w:szCs w:val="20"/>
              </w:rPr>
              <w:t xml:space="preserve">In addition to meeting emissions intensity thresholds, production generating BCUs shall demonstrate alignment with 1.5°C-compatible transition pathways and avoid reinforcing long-term fossil lock-in or stranded-asset risks. </w:t>
            </w:r>
            <w:r w:rsidRPr="00B407B5">
              <w:rPr>
                <w:rFonts w:ascii="Open Sans" w:hAnsi="Open Sans" w:cs="Open Sans"/>
                <w:b/>
                <w:color w:val="595959" w:themeColor="text1" w:themeTint="A6"/>
                <w:sz w:val="20"/>
                <w:szCs w:val="20"/>
              </w:rPr>
              <w:t>Route-specific criteria are applied at the site level to ensure that qualifying production reflects credible structural decarbonization</w:t>
            </w:r>
            <w:r w:rsidRPr="00B407B5">
              <w:rPr>
                <w:rFonts w:ascii="Open Sans" w:hAnsi="Open Sans" w:cs="Open Sans"/>
                <w:color w:val="595959" w:themeColor="text1" w:themeTint="A6"/>
                <w:sz w:val="20"/>
                <w:szCs w:val="20"/>
              </w:rPr>
              <w:t>.</w:t>
            </w:r>
          </w:p>
          <w:p w14:paraId="7AFC3779" w14:textId="5B869399" w:rsidR="000A637E" w:rsidRPr="00B407B5" w:rsidRDefault="000A637E" w:rsidP="002748B4">
            <w:pPr>
              <w:pStyle w:val="NormalWeb"/>
              <w:numPr>
                <w:ilvl w:val="0"/>
                <w:numId w:val="42"/>
              </w:numPr>
              <w:rPr>
                <w:rFonts w:ascii="Open Sans" w:hAnsi="Open Sans" w:cs="Open Sans"/>
                <w:color w:val="595959" w:themeColor="text1" w:themeTint="A6"/>
                <w:sz w:val="20"/>
                <w:szCs w:val="20"/>
              </w:rPr>
            </w:pPr>
            <w:r w:rsidRPr="00B407B5">
              <w:rPr>
                <w:rFonts w:ascii="Open Sans" w:hAnsi="Open Sans" w:cs="Open Sans"/>
                <w:b/>
                <w:color w:val="595959" w:themeColor="text1" w:themeTint="A6"/>
                <w:sz w:val="20"/>
                <w:szCs w:val="20"/>
              </w:rPr>
              <w:t xml:space="preserve">BF-BOF </w:t>
            </w:r>
            <w:r w:rsidR="00153C5B">
              <w:rPr>
                <w:rFonts w:ascii="Open Sans" w:hAnsi="Open Sans" w:cs="Open Sans"/>
                <w:b/>
                <w:color w:val="595959" w:themeColor="text1" w:themeTint="A6"/>
                <w:sz w:val="20"/>
                <w:szCs w:val="20"/>
              </w:rPr>
              <w:t>r</w:t>
            </w:r>
            <w:r w:rsidRPr="00B407B5">
              <w:rPr>
                <w:rFonts w:ascii="Open Sans" w:hAnsi="Open Sans" w:cs="Open Sans"/>
                <w:b/>
                <w:color w:val="595959" w:themeColor="text1" w:themeTint="A6"/>
                <w:sz w:val="20"/>
                <w:szCs w:val="20"/>
              </w:rPr>
              <w:t xml:space="preserve">oute </w:t>
            </w:r>
            <w:r w:rsidR="00153C5B">
              <w:rPr>
                <w:rFonts w:ascii="Open Sans" w:hAnsi="Open Sans" w:cs="Open Sans"/>
                <w:b/>
                <w:color w:val="595959" w:themeColor="text1" w:themeTint="A6"/>
                <w:sz w:val="20"/>
                <w:szCs w:val="20"/>
              </w:rPr>
              <w:t>r</w:t>
            </w:r>
            <w:r w:rsidRPr="00B407B5">
              <w:rPr>
                <w:rFonts w:ascii="Open Sans" w:hAnsi="Open Sans" w:cs="Open Sans"/>
                <w:b/>
                <w:color w:val="595959" w:themeColor="text1" w:themeTint="A6"/>
                <w:sz w:val="20"/>
                <w:szCs w:val="20"/>
              </w:rPr>
              <w:t>estrictions</w:t>
            </w:r>
            <w:r w:rsidRPr="00B407B5">
              <w:rPr>
                <w:rFonts w:ascii="Open Sans" w:hAnsi="Open Sans" w:cs="Open Sans"/>
                <w:color w:val="595959" w:themeColor="text1" w:themeTint="A6"/>
                <w:sz w:val="20"/>
                <w:szCs w:val="20"/>
              </w:rPr>
              <w:t>, which limit eligibility of conventional blast furnace–basic oxygen furnace production under defined transitional and time-bound conditions.</w:t>
            </w:r>
          </w:p>
          <w:p w14:paraId="38E903C3" w14:textId="54D94D4A" w:rsidR="000A637E" w:rsidRPr="00B407B5" w:rsidRDefault="000A637E" w:rsidP="002748B4">
            <w:pPr>
              <w:pStyle w:val="NormalWeb"/>
              <w:numPr>
                <w:ilvl w:val="0"/>
                <w:numId w:val="42"/>
              </w:numPr>
              <w:rPr>
                <w:rFonts w:ascii="Open Sans" w:hAnsi="Open Sans" w:cs="Open Sans"/>
                <w:color w:val="595959" w:themeColor="text1" w:themeTint="A6"/>
                <w:sz w:val="20"/>
                <w:szCs w:val="20"/>
              </w:rPr>
            </w:pPr>
            <w:r w:rsidRPr="00B407B5">
              <w:rPr>
                <w:rFonts w:ascii="Open Sans" w:hAnsi="Open Sans" w:cs="Open Sans"/>
                <w:b/>
                <w:color w:val="595959" w:themeColor="text1" w:themeTint="A6"/>
                <w:sz w:val="20"/>
                <w:szCs w:val="20"/>
              </w:rPr>
              <w:t xml:space="preserve">CCS/CCUS </w:t>
            </w:r>
            <w:r w:rsidR="00153C5B">
              <w:rPr>
                <w:rFonts w:ascii="Open Sans" w:hAnsi="Open Sans" w:cs="Open Sans"/>
                <w:b/>
                <w:color w:val="595959" w:themeColor="text1" w:themeTint="A6"/>
                <w:sz w:val="20"/>
                <w:szCs w:val="20"/>
              </w:rPr>
              <w:t>s</w:t>
            </w:r>
            <w:r w:rsidRPr="00B407B5">
              <w:rPr>
                <w:rFonts w:ascii="Open Sans" w:hAnsi="Open Sans" w:cs="Open Sans"/>
                <w:b/>
                <w:color w:val="595959" w:themeColor="text1" w:themeTint="A6"/>
                <w:sz w:val="20"/>
                <w:szCs w:val="20"/>
              </w:rPr>
              <w:t>afeguards</w:t>
            </w:r>
            <w:r w:rsidRPr="00B407B5">
              <w:rPr>
                <w:rFonts w:ascii="Open Sans" w:hAnsi="Open Sans" w:cs="Open Sans"/>
                <w:color w:val="595959" w:themeColor="text1" w:themeTint="A6"/>
                <w:sz w:val="20"/>
                <w:szCs w:val="20"/>
              </w:rPr>
              <w:t>, which establish minimum capture-rate, permanence, and transport integrity requirements for carbon capture-based production pathways.</w:t>
            </w:r>
          </w:p>
          <w:p w14:paraId="5E4216F2" w14:textId="038626A1" w:rsidR="000A637E" w:rsidRPr="00B407B5" w:rsidRDefault="000A637E" w:rsidP="002748B4">
            <w:pPr>
              <w:pStyle w:val="NormalWeb"/>
              <w:numPr>
                <w:ilvl w:val="0"/>
                <w:numId w:val="42"/>
              </w:numPr>
              <w:rPr>
                <w:rFonts w:ascii="Open Sans" w:hAnsi="Open Sans" w:cs="Open Sans"/>
                <w:color w:val="595959" w:themeColor="text1" w:themeTint="A6"/>
                <w:sz w:val="20"/>
                <w:szCs w:val="20"/>
              </w:rPr>
            </w:pPr>
            <w:r w:rsidRPr="00B407B5">
              <w:rPr>
                <w:rFonts w:ascii="Open Sans" w:hAnsi="Open Sans" w:cs="Open Sans"/>
                <w:b/>
                <w:color w:val="595959" w:themeColor="text1" w:themeTint="A6"/>
                <w:sz w:val="20"/>
                <w:szCs w:val="20"/>
              </w:rPr>
              <w:t xml:space="preserve">Biomass </w:t>
            </w:r>
            <w:r w:rsidR="005F5C75">
              <w:rPr>
                <w:rFonts w:ascii="Open Sans" w:hAnsi="Open Sans" w:cs="Open Sans"/>
                <w:b/>
                <w:color w:val="595959" w:themeColor="text1" w:themeTint="A6"/>
                <w:sz w:val="20"/>
                <w:szCs w:val="20"/>
              </w:rPr>
              <w:t>s</w:t>
            </w:r>
            <w:r w:rsidRPr="00B407B5">
              <w:rPr>
                <w:rFonts w:ascii="Open Sans" w:hAnsi="Open Sans" w:cs="Open Sans"/>
                <w:b/>
                <w:color w:val="595959" w:themeColor="text1" w:themeTint="A6"/>
                <w:sz w:val="20"/>
                <w:szCs w:val="20"/>
              </w:rPr>
              <w:t xml:space="preserve">ustainability </w:t>
            </w:r>
            <w:r w:rsidR="005F5C75">
              <w:rPr>
                <w:rFonts w:ascii="Open Sans" w:hAnsi="Open Sans" w:cs="Open Sans"/>
                <w:b/>
                <w:color w:val="595959" w:themeColor="text1" w:themeTint="A6"/>
                <w:sz w:val="20"/>
                <w:szCs w:val="20"/>
              </w:rPr>
              <w:t>c</w:t>
            </w:r>
            <w:r w:rsidRPr="00B407B5">
              <w:rPr>
                <w:rFonts w:ascii="Open Sans" w:hAnsi="Open Sans" w:cs="Open Sans"/>
                <w:b/>
                <w:color w:val="595959" w:themeColor="text1" w:themeTint="A6"/>
                <w:sz w:val="20"/>
                <w:szCs w:val="20"/>
              </w:rPr>
              <w:t>riteria</w:t>
            </w:r>
            <w:r w:rsidRPr="00B407B5">
              <w:rPr>
                <w:rFonts w:ascii="Open Sans" w:hAnsi="Open Sans" w:cs="Open Sans"/>
                <w:color w:val="595959" w:themeColor="text1" w:themeTint="A6"/>
                <w:sz w:val="20"/>
                <w:szCs w:val="20"/>
              </w:rPr>
              <w:t>, which restrict eligible biomass inputs to defined feedstocks aligned with sustainability and scalability safeguards.</w:t>
            </w:r>
          </w:p>
          <w:p w14:paraId="28772A37" w14:textId="15AB44E6" w:rsidR="000A637E" w:rsidRPr="004A61C3" w:rsidRDefault="000A637E" w:rsidP="002748B4">
            <w:pPr>
              <w:pStyle w:val="NormalWeb"/>
              <w:numPr>
                <w:ilvl w:val="0"/>
                <w:numId w:val="42"/>
              </w:numPr>
              <w:rPr>
                <w:rFonts w:ascii="Open Sans" w:hAnsi="Open Sans" w:cs="Open Sans"/>
                <w:sz w:val="20"/>
                <w:szCs w:val="20"/>
              </w:rPr>
            </w:pPr>
            <w:r w:rsidRPr="00B407B5">
              <w:rPr>
                <w:rFonts w:ascii="Open Sans" w:hAnsi="Open Sans" w:cs="Open Sans"/>
                <w:b/>
                <w:color w:val="595959" w:themeColor="text1" w:themeTint="A6"/>
                <w:sz w:val="20"/>
                <w:szCs w:val="20"/>
              </w:rPr>
              <w:t xml:space="preserve">Upstream </w:t>
            </w:r>
            <w:r w:rsidR="005F5C75">
              <w:rPr>
                <w:rFonts w:ascii="Open Sans" w:hAnsi="Open Sans" w:cs="Open Sans"/>
                <w:b/>
                <w:color w:val="595959" w:themeColor="text1" w:themeTint="A6"/>
                <w:sz w:val="20"/>
                <w:szCs w:val="20"/>
              </w:rPr>
              <w:t>m</w:t>
            </w:r>
            <w:r w:rsidRPr="00B407B5">
              <w:rPr>
                <w:rFonts w:ascii="Open Sans" w:hAnsi="Open Sans" w:cs="Open Sans"/>
                <w:b/>
                <w:color w:val="595959" w:themeColor="text1" w:themeTint="A6"/>
                <w:sz w:val="20"/>
                <w:szCs w:val="20"/>
              </w:rPr>
              <w:t xml:space="preserve">ethane </w:t>
            </w:r>
            <w:r w:rsidR="005F5C75">
              <w:rPr>
                <w:rFonts w:ascii="Open Sans" w:hAnsi="Open Sans" w:cs="Open Sans"/>
                <w:b/>
                <w:color w:val="595959" w:themeColor="text1" w:themeTint="A6"/>
                <w:sz w:val="20"/>
                <w:szCs w:val="20"/>
              </w:rPr>
              <w:t>c</w:t>
            </w:r>
            <w:r w:rsidRPr="00B407B5">
              <w:rPr>
                <w:rFonts w:ascii="Open Sans" w:hAnsi="Open Sans" w:cs="Open Sans"/>
                <w:b/>
                <w:color w:val="595959" w:themeColor="text1" w:themeTint="A6"/>
                <w:sz w:val="20"/>
                <w:szCs w:val="20"/>
              </w:rPr>
              <w:t>ontrols</w:t>
            </w:r>
            <w:r w:rsidRPr="00B407B5">
              <w:rPr>
                <w:rFonts w:ascii="Open Sans" w:hAnsi="Open Sans" w:cs="Open Sans"/>
                <w:color w:val="595959" w:themeColor="text1" w:themeTint="A6"/>
                <w:sz w:val="20"/>
                <w:szCs w:val="20"/>
              </w:rPr>
              <w:t>, which address methane leakage associated with fuel inputs to ensure upstream emissions do not undermine climate outcomes.</w:t>
            </w:r>
          </w:p>
        </w:tc>
      </w:tr>
      <w:tr w:rsidR="000A637E" w:rsidRPr="00F9616D" w14:paraId="059EFC7C" w14:textId="77777777" w:rsidTr="00C85342">
        <w:trPr>
          <w:trHeight w:val="899"/>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7EBA94F" w14:textId="77777777" w:rsidR="000A637E" w:rsidRPr="004A61C3" w:rsidRDefault="000A637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CB0582" w14:textId="38718174" w:rsidR="000A637E" w:rsidRPr="004A61C3" w:rsidRDefault="000A18D3" w:rsidP="000A18D3">
            <w:pPr>
              <w:spacing w:before="240" w:after="240"/>
              <w:rPr>
                <w:rFonts w:ascii="Open Sans" w:eastAsia="Helvetica" w:hAnsi="Open Sans" w:cs="Open Sans"/>
                <w:b/>
                <w:color w:val="595959" w:themeColor="text1" w:themeTint="A6"/>
                <w:sz w:val="20"/>
                <w:szCs w:val="20"/>
              </w:rPr>
            </w:pPr>
            <w:r w:rsidRPr="004A61C3">
              <w:rPr>
                <w:rFonts w:ascii="Open Sans" w:eastAsia="Helvetica" w:hAnsi="Open Sans" w:cs="Open Sans"/>
                <w:b/>
                <w:color w:val="595959" w:themeColor="text1" w:themeTint="A6"/>
                <w:sz w:val="20"/>
                <w:szCs w:val="20"/>
              </w:rPr>
              <w:t xml:space="preserve">BF-BOF Route Criteria: </w:t>
            </w:r>
            <w:r w:rsidR="0097682F" w:rsidRPr="0097682F">
              <w:rPr>
                <w:rFonts w:ascii="Open Sans" w:eastAsia="Helvetica" w:hAnsi="Open Sans" w:cs="Open Sans"/>
                <w:color w:val="595959" w:themeColor="text1" w:themeTint="A6"/>
                <w:sz w:val="20"/>
                <w:szCs w:val="20"/>
              </w:rPr>
              <w:t>D</w:t>
            </w:r>
            <w:r w:rsidRPr="0097682F">
              <w:rPr>
                <w:rFonts w:ascii="Open Sans" w:eastAsia="Helvetica" w:hAnsi="Open Sans" w:cs="Open Sans"/>
                <w:color w:val="595959" w:themeColor="text1" w:themeTint="A6"/>
                <w:sz w:val="20"/>
                <w:szCs w:val="20"/>
              </w:rPr>
              <w:t>P</w:t>
            </w:r>
            <w:r w:rsidRPr="004A61C3">
              <w:rPr>
                <w:rFonts w:ascii="Open Sans" w:eastAsia="Helvetica" w:hAnsi="Open Sans" w:cs="Open Sans"/>
                <w:color w:val="595959" w:themeColor="text1" w:themeTint="A6"/>
                <w:sz w:val="20"/>
                <w:szCs w:val="20"/>
              </w:rPr>
              <w:t xml:space="preserve">L3 eligibility </w:t>
            </w:r>
            <w:r>
              <w:rPr>
                <w:rFonts w:ascii="Open Sans" w:eastAsia="Helvetica" w:hAnsi="Open Sans" w:cs="Open Sans"/>
                <w:color w:val="595959" w:themeColor="text1" w:themeTint="A6"/>
                <w:sz w:val="20"/>
                <w:szCs w:val="20"/>
              </w:rPr>
              <w:t xml:space="preserve">and proposed additional </w:t>
            </w:r>
            <w:r w:rsidRPr="004A61C3">
              <w:rPr>
                <w:rFonts w:ascii="Open Sans" w:eastAsia="Helvetica" w:hAnsi="Open Sans" w:cs="Open Sans"/>
                <w:color w:val="595959" w:themeColor="text1" w:themeTint="A6"/>
                <w:sz w:val="20"/>
                <w:szCs w:val="20"/>
              </w:rPr>
              <w:t>protection against stranded-asset and fossil lock-in</w:t>
            </w:r>
            <w:r>
              <w:rPr>
                <w:rFonts w:ascii="Open Sans" w:eastAsia="Helvetica" w:hAnsi="Open Sans" w:cs="Open Sans"/>
                <w:color w:val="595959" w:themeColor="text1" w:themeTint="A6"/>
                <w:sz w:val="20"/>
                <w:szCs w:val="20"/>
              </w:rPr>
              <w:t xml:space="preserve"> risks</w:t>
            </w:r>
            <w:r w:rsidR="00C85342">
              <w:rPr>
                <w:rFonts w:ascii="Open Sans" w:eastAsia="Helvetica" w:hAnsi="Open Sans" w:cs="Open Sans"/>
                <w:color w:val="595959" w:themeColor="text1" w:themeTint="A6"/>
                <w:sz w:val="20"/>
                <w:szCs w:val="20"/>
              </w:rPr>
              <w:t xml:space="preserve"> </w:t>
            </w:r>
            <w:r w:rsidRPr="004A61C3">
              <w:rPr>
                <w:rFonts w:ascii="Open Sans" w:eastAsia="Helvetica" w:hAnsi="Open Sans" w:cs="Open Sans"/>
                <w:color w:val="595959" w:themeColor="text1" w:themeTint="A6"/>
                <w:sz w:val="20"/>
                <w:szCs w:val="20"/>
              </w:rPr>
              <w:t xml:space="preserve">is expected to rule out most conventional BF-BOF production. Should the system more explicitly disqualify </w:t>
            </w:r>
            <w:r w:rsidR="00C85342">
              <w:rPr>
                <w:rFonts w:ascii="Open Sans" w:eastAsia="Helvetica" w:hAnsi="Open Sans" w:cs="Open Sans"/>
                <w:color w:val="595959" w:themeColor="text1" w:themeTint="A6"/>
                <w:sz w:val="20"/>
                <w:szCs w:val="20"/>
              </w:rPr>
              <w:t xml:space="preserve">steel products from </w:t>
            </w:r>
            <w:r w:rsidRPr="004A61C3">
              <w:rPr>
                <w:rFonts w:ascii="Open Sans" w:eastAsia="Helvetica" w:hAnsi="Open Sans" w:cs="Open Sans"/>
                <w:color w:val="595959" w:themeColor="text1" w:themeTint="A6"/>
                <w:sz w:val="20"/>
                <w:szCs w:val="20"/>
              </w:rPr>
              <w:t>BF-BOF routes?</w:t>
            </w:r>
          </w:p>
        </w:tc>
      </w:tr>
      <w:tr w:rsidR="000A637E" w:rsidRPr="00F9616D" w14:paraId="4D976165" w14:textId="77777777">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3F48D3A0" w14:textId="77777777" w:rsidR="000A637E" w:rsidRPr="004A61C3" w:rsidRDefault="000A637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7EB6BE7" w14:textId="77777777" w:rsidR="000A637E" w:rsidRPr="004A61C3" w:rsidRDefault="000A637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0A637E" w:rsidRPr="00F9616D" w14:paraId="0423FA30" w14:textId="77777777" w:rsidTr="00D31CD5">
        <w:trPr>
          <w:trHeight w:val="512"/>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3804FC9" w14:textId="77777777" w:rsidR="000A637E" w:rsidRPr="004A61C3" w:rsidRDefault="000A637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C81A1AB" w14:textId="0219EAA3" w:rsidR="000A637E" w:rsidRPr="004A61C3" w:rsidRDefault="000A18D3" w:rsidP="000A18D3">
            <w:pPr>
              <w:spacing w:before="240" w:after="240"/>
              <w:rPr>
                <w:rFonts w:ascii="Open Sans" w:eastAsia="Helvetica" w:hAnsi="Open Sans" w:cs="Open Sans"/>
                <w:b/>
                <w:color w:val="595959" w:themeColor="text1" w:themeTint="A6"/>
                <w:sz w:val="20"/>
                <w:szCs w:val="20"/>
                <w:lang w:val="en-GB"/>
              </w:rPr>
            </w:pPr>
            <w:r w:rsidRPr="004A61C3">
              <w:rPr>
                <w:rFonts w:ascii="Open Sans" w:eastAsia="Helvetica" w:hAnsi="Open Sans" w:cs="Open Sans"/>
                <w:b/>
                <w:color w:val="595959" w:themeColor="text1" w:themeTint="A6"/>
                <w:sz w:val="20"/>
                <w:szCs w:val="20"/>
                <w:lang w:val="en-GB"/>
              </w:rPr>
              <w:t xml:space="preserve">Upstream Methane Requirement: </w:t>
            </w:r>
            <w:r w:rsidR="0000714F" w:rsidRPr="0000714F">
              <w:rPr>
                <w:rFonts w:ascii="Open Sans" w:eastAsia="Helvetica" w:hAnsi="Open Sans" w:cs="Open Sans"/>
                <w:bCs/>
                <w:color w:val="595959" w:themeColor="text1" w:themeTint="A6"/>
                <w:sz w:val="20"/>
                <w:szCs w:val="20"/>
                <w:lang w:val="en-GB"/>
              </w:rPr>
              <w:t>Do you agree</w:t>
            </w:r>
            <w:r w:rsidR="00B56533">
              <w:rPr>
                <w:rFonts w:ascii="Open Sans" w:eastAsia="Helvetica" w:hAnsi="Open Sans" w:cs="Open Sans"/>
                <w:color w:val="595959" w:themeColor="text1" w:themeTint="A6"/>
                <w:sz w:val="20"/>
                <w:szCs w:val="20"/>
                <w:lang w:val="en-GB"/>
              </w:rPr>
              <w:t xml:space="preserve"> with </w:t>
            </w:r>
            <w:r>
              <w:rPr>
                <w:rFonts w:ascii="Open Sans" w:eastAsia="Helvetica" w:hAnsi="Open Sans" w:cs="Open Sans"/>
                <w:color w:val="595959" w:themeColor="text1" w:themeTint="A6"/>
                <w:sz w:val="20"/>
                <w:szCs w:val="20"/>
                <w:lang w:val="en-GB"/>
              </w:rPr>
              <w:t xml:space="preserve">the </w:t>
            </w:r>
            <w:r w:rsidR="00C2362A">
              <w:rPr>
                <w:rFonts w:ascii="Open Sans" w:eastAsia="Helvetica" w:hAnsi="Open Sans" w:cs="Open Sans"/>
                <w:color w:val="595959" w:themeColor="text1" w:themeTint="A6"/>
                <w:sz w:val="20"/>
                <w:szCs w:val="20"/>
                <w:lang w:val="en-GB"/>
              </w:rPr>
              <w:t>s</w:t>
            </w:r>
            <w:r w:rsidR="00B56533">
              <w:rPr>
                <w:rFonts w:ascii="Open Sans" w:eastAsia="Helvetica" w:hAnsi="Open Sans" w:cs="Open Sans"/>
                <w:color w:val="595959" w:themeColor="text1" w:themeTint="A6"/>
                <w:sz w:val="20"/>
                <w:szCs w:val="20"/>
                <w:lang w:val="en-GB"/>
              </w:rPr>
              <w:t>ystem’s approach on</w:t>
            </w:r>
            <w:r>
              <w:rPr>
                <w:rFonts w:ascii="Open Sans" w:eastAsia="Helvetica" w:hAnsi="Open Sans" w:cs="Open Sans"/>
                <w:color w:val="595959" w:themeColor="text1" w:themeTint="A6"/>
                <w:sz w:val="20"/>
                <w:szCs w:val="20"/>
                <w:lang w:val="en-GB"/>
              </w:rPr>
              <w:t xml:space="preserve"> </w:t>
            </w:r>
            <w:r w:rsidRPr="004A61C3">
              <w:rPr>
                <w:rFonts w:ascii="Open Sans" w:eastAsia="Helvetica" w:hAnsi="Open Sans" w:cs="Open Sans"/>
                <w:color w:val="595959" w:themeColor="text1" w:themeTint="A6"/>
                <w:sz w:val="20"/>
                <w:szCs w:val="20"/>
                <w:lang w:val="en-GB"/>
              </w:rPr>
              <w:t>addressing upstream methane leakage</w:t>
            </w:r>
            <w:r w:rsidR="00D9461F">
              <w:rPr>
                <w:rFonts w:ascii="Open Sans" w:eastAsia="Helvetica" w:hAnsi="Open Sans" w:cs="Open Sans"/>
                <w:color w:val="595959" w:themeColor="text1" w:themeTint="A6"/>
                <w:sz w:val="20"/>
                <w:szCs w:val="20"/>
                <w:lang w:val="en-GB"/>
              </w:rPr>
              <w:t xml:space="preserve"> (i.e., upstream methane leakage from gas use should not exceed 0.2%)</w:t>
            </w:r>
            <w:r w:rsidRPr="004A61C3">
              <w:rPr>
                <w:rFonts w:ascii="Open Sans" w:eastAsia="Helvetica" w:hAnsi="Open Sans" w:cs="Open Sans"/>
                <w:color w:val="595959" w:themeColor="text1" w:themeTint="A6"/>
                <w:sz w:val="20"/>
                <w:szCs w:val="20"/>
                <w:lang w:val="en-GB"/>
              </w:rPr>
              <w:t>? Is the proposed 0.2% threshold feasible as a best practice?</w:t>
            </w:r>
            <w:r w:rsidR="00D9461F">
              <w:rPr>
                <w:rFonts w:ascii="Open Sans" w:eastAsia="Helvetica" w:hAnsi="Open Sans" w:cs="Open Sans"/>
                <w:color w:val="595959" w:themeColor="text1" w:themeTint="A6"/>
                <w:sz w:val="20"/>
                <w:szCs w:val="20"/>
                <w:lang w:val="en-GB"/>
              </w:rPr>
              <w:t xml:space="preserve"> Should </w:t>
            </w:r>
            <w:r w:rsidR="007B438B">
              <w:rPr>
                <w:rFonts w:ascii="Open Sans" w:eastAsia="Helvetica" w:hAnsi="Open Sans" w:cs="Open Sans"/>
                <w:color w:val="595959" w:themeColor="text1" w:themeTint="A6"/>
                <w:sz w:val="20"/>
                <w:szCs w:val="20"/>
                <w:lang w:val="en-GB"/>
              </w:rPr>
              <w:t>methane leak</w:t>
            </w:r>
            <w:r w:rsidR="006A5F00">
              <w:rPr>
                <w:rFonts w:ascii="Open Sans" w:eastAsia="Helvetica" w:hAnsi="Open Sans" w:cs="Open Sans"/>
                <w:color w:val="595959" w:themeColor="text1" w:themeTint="A6"/>
                <w:sz w:val="20"/>
                <w:szCs w:val="20"/>
                <w:lang w:val="en-GB"/>
              </w:rPr>
              <w:t>age</w:t>
            </w:r>
            <w:r w:rsidR="007B438B">
              <w:rPr>
                <w:rFonts w:ascii="Open Sans" w:eastAsia="Helvetica" w:hAnsi="Open Sans" w:cs="Open Sans"/>
                <w:color w:val="595959" w:themeColor="text1" w:themeTint="A6"/>
                <w:sz w:val="20"/>
                <w:szCs w:val="20"/>
                <w:lang w:val="en-GB"/>
              </w:rPr>
              <w:t xml:space="preserve"> from coal mines be considered too?</w:t>
            </w:r>
          </w:p>
        </w:tc>
      </w:tr>
      <w:tr w:rsidR="000A637E" w:rsidRPr="00F9616D" w14:paraId="2664B720" w14:textId="77777777">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341A77A" w14:textId="77777777" w:rsidR="000A637E" w:rsidRPr="004A61C3" w:rsidRDefault="000A637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8C2DB52" w14:textId="77777777" w:rsidR="000A637E" w:rsidRPr="004A61C3" w:rsidRDefault="000A637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4E874163" w14:textId="77777777" w:rsidR="000A637E" w:rsidRDefault="000A637E"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p w14:paraId="58205D8D" w14:textId="77777777" w:rsidR="00711CA4" w:rsidRDefault="00711CA4"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p w14:paraId="7D3F4E83" w14:textId="77777777" w:rsidR="00711CA4" w:rsidRPr="004A61C3" w:rsidRDefault="00711CA4"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01BFEF05"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1A77D1FF"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lastRenderedPageBreak/>
              <w:t>Section 3.3 Additionality Requirements</w:t>
            </w:r>
          </w:p>
        </w:tc>
      </w:tr>
      <w:tr w:rsidR="0069241E" w:rsidRPr="00F9616D" w14:paraId="6683C270" w14:textId="77777777" w:rsidTr="001D18BD">
        <w:trPr>
          <w:trHeight w:val="2357"/>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bottom"/>
          </w:tcPr>
          <w:p w14:paraId="3B413BF4" w14:textId="2E41906E" w:rsidR="0069241E" w:rsidRPr="007B438B" w:rsidRDefault="0069241E" w:rsidP="001D18BD">
            <w:pPr>
              <w:pStyle w:val="NormalWeb"/>
              <w:rPr>
                <w:rFonts w:ascii="Open Sans" w:hAnsi="Open Sans" w:cs="Open Sans"/>
                <w:color w:val="595959" w:themeColor="text1" w:themeTint="A6"/>
                <w:sz w:val="20"/>
                <w:szCs w:val="20"/>
              </w:rPr>
            </w:pPr>
            <w:r w:rsidRPr="007B438B">
              <w:rPr>
                <w:rFonts w:ascii="Open Sans" w:hAnsi="Open Sans" w:cs="Open Sans"/>
                <w:color w:val="595959" w:themeColor="text1" w:themeTint="A6"/>
                <w:sz w:val="20"/>
                <w:szCs w:val="20"/>
              </w:rPr>
              <w:t xml:space="preserve">The </w:t>
            </w:r>
            <w:r w:rsidR="006A5F00">
              <w:rPr>
                <w:rFonts w:ascii="Open Sans" w:hAnsi="Open Sans" w:cs="Open Sans"/>
                <w:color w:val="595959" w:themeColor="text1" w:themeTint="A6"/>
                <w:sz w:val="20"/>
                <w:szCs w:val="20"/>
              </w:rPr>
              <w:t>s</w:t>
            </w:r>
            <w:r w:rsidRPr="007B438B">
              <w:rPr>
                <w:rFonts w:ascii="Open Sans" w:hAnsi="Open Sans" w:cs="Open Sans"/>
                <w:color w:val="595959" w:themeColor="text1" w:themeTint="A6"/>
                <w:sz w:val="20"/>
                <w:szCs w:val="20"/>
              </w:rPr>
              <w:t>ystem’s additionality requirements ensure that BCUs represent emissions performance that exceeds regulatory obligations and common industry practice and that BCU revenue supports meaningful transition outcomes.</w:t>
            </w:r>
          </w:p>
          <w:p w14:paraId="50A5CEC4" w14:textId="77777777" w:rsidR="0069241E" w:rsidRPr="007B438B" w:rsidRDefault="0069241E" w:rsidP="001D18BD">
            <w:pPr>
              <w:pStyle w:val="NormalWeb"/>
              <w:numPr>
                <w:ilvl w:val="0"/>
                <w:numId w:val="23"/>
              </w:numPr>
              <w:rPr>
                <w:rFonts w:ascii="Open Sans" w:hAnsi="Open Sans" w:cs="Open Sans"/>
                <w:color w:val="595959" w:themeColor="text1" w:themeTint="A6"/>
                <w:sz w:val="20"/>
                <w:szCs w:val="20"/>
              </w:rPr>
            </w:pPr>
            <w:r w:rsidRPr="00423BC6">
              <w:rPr>
                <w:rFonts w:ascii="Open Sans" w:hAnsi="Open Sans" w:cs="Open Sans"/>
                <w:b/>
                <w:color w:val="595959" w:themeColor="text1" w:themeTint="A6"/>
                <w:sz w:val="20"/>
                <w:szCs w:val="20"/>
              </w:rPr>
              <w:t>EAC-generating production shall demonstrate regulatory additionality</w:t>
            </w:r>
            <w:r w:rsidRPr="007B438B">
              <w:rPr>
                <w:rFonts w:ascii="Open Sans" w:hAnsi="Open Sans" w:cs="Open Sans"/>
                <w:color w:val="595959" w:themeColor="text1" w:themeTint="A6"/>
                <w:sz w:val="20"/>
                <w:szCs w:val="20"/>
              </w:rPr>
              <w:t xml:space="preserve"> by disclosing applicable regulatory obligations and confirming performance exceeds compliance requirements.</w:t>
            </w:r>
          </w:p>
          <w:p w14:paraId="03FA1EDB" w14:textId="77777777" w:rsidR="0069241E" w:rsidRPr="007B438B" w:rsidRDefault="0069241E" w:rsidP="001D18BD">
            <w:pPr>
              <w:pStyle w:val="NormalWeb"/>
              <w:numPr>
                <w:ilvl w:val="0"/>
                <w:numId w:val="23"/>
              </w:numPr>
              <w:rPr>
                <w:rFonts w:ascii="Open Sans" w:hAnsi="Open Sans" w:cs="Open Sans"/>
                <w:color w:val="595959" w:themeColor="text1" w:themeTint="A6"/>
                <w:sz w:val="20"/>
                <w:szCs w:val="20"/>
              </w:rPr>
            </w:pPr>
            <w:r w:rsidRPr="007B438B">
              <w:rPr>
                <w:rFonts w:ascii="Open Sans" w:hAnsi="Open Sans" w:cs="Open Sans"/>
                <w:color w:val="595959" w:themeColor="text1" w:themeTint="A6"/>
                <w:sz w:val="20"/>
                <w:szCs w:val="20"/>
              </w:rPr>
              <w:t>Suppliers should provide evidence of financial additionality where relevant, including the material role of BCU revenue in enabling or sustaining low-emissions production.</w:t>
            </w:r>
          </w:p>
          <w:p w14:paraId="2D7E6F62" w14:textId="77777777" w:rsidR="0069241E" w:rsidRPr="004A61C3" w:rsidRDefault="0069241E" w:rsidP="001D18BD">
            <w:pPr>
              <w:pStyle w:val="NormalWeb"/>
              <w:numPr>
                <w:ilvl w:val="0"/>
                <w:numId w:val="23"/>
              </w:numPr>
              <w:rPr>
                <w:rFonts w:ascii="Open Sans" w:hAnsi="Open Sans" w:cs="Open Sans"/>
                <w:sz w:val="20"/>
                <w:szCs w:val="20"/>
              </w:rPr>
            </w:pPr>
            <w:r w:rsidRPr="007B438B">
              <w:rPr>
                <w:rFonts w:ascii="Open Sans" w:hAnsi="Open Sans" w:cs="Open Sans"/>
                <w:color w:val="595959" w:themeColor="text1" w:themeTint="A6"/>
                <w:sz w:val="20"/>
                <w:szCs w:val="20"/>
              </w:rPr>
              <w:t>Buyers are encouraged to assess common-practice additionality and in-region transition impact through procurement criteria.</w:t>
            </w:r>
          </w:p>
        </w:tc>
      </w:tr>
      <w:tr w:rsidR="0069241E" w:rsidRPr="00F9616D" w14:paraId="5FAB1B72"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7C73999"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F98689"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 xml:space="preserve">Balance of Additionality Requirements: </w:t>
            </w:r>
            <w:r w:rsidRPr="004A61C3">
              <w:rPr>
                <w:rFonts w:ascii="Open Sans" w:eastAsia="Helvetica" w:hAnsi="Open Sans" w:cs="Open Sans"/>
                <w:color w:val="595959" w:themeColor="text1" w:themeTint="A6"/>
                <w:sz w:val="20"/>
                <w:szCs w:val="20"/>
              </w:rPr>
              <w:t>Is requiring regulatory additionality (regulatory surplus) as a minimum safeguard for BCU issuance, while encouraging buyer-driven assessment of financial and common practice additionality, an appropriate and credible approach? If not, how should the balance be adjusted?</w:t>
            </w:r>
          </w:p>
        </w:tc>
      </w:tr>
      <w:tr w:rsidR="0069241E" w:rsidRPr="00F9616D" w14:paraId="0F63E9B0"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248D0E9"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E835514"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301C23" w:rsidRPr="004A61C3" w14:paraId="2A2D60D1" w14:textId="77777777" w:rsidTr="00E51047">
        <w:trPr>
          <w:trHeight w:val="720"/>
        </w:trPr>
        <w:tc>
          <w:tcPr>
            <w:tcW w:w="428" w:type="dxa"/>
            <w:vMerge w:val="restart"/>
            <w:tcBorders>
              <w:left w:val="single" w:sz="4" w:space="0" w:color="595959" w:themeColor="text1" w:themeTint="A6"/>
              <w:right w:val="single" w:sz="4" w:space="0" w:color="595959" w:themeColor="text1" w:themeTint="A6"/>
            </w:tcBorders>
            <w:vAlign w:val="center"/>
          </w:tcPr>
          <w:p w14:paraId="5B66B7D1" w14:textId="38CCACC6" w:rsidR="00301C23" w:rsidRPr="004A61C3" w:rsidRDefault="00301C23" w:rsidP="00AE2C1A">
            <w:pPr>
              <w:spacing w:after="0" w:line="240" w:lineRule="auto"/>
              <w:rPr>
                <w:rFonts w:ascii="Open Sans" w:eastAsia="Times New Roman" w:hAnsi="Open Sans" w:cs="Open Sans"/>
                <w:b/>
                <w:bCs/>
                <w:color w:val="595959" w:themeColor="text1" w:themeTint="A6"/>
                <w:sz w:val="20"/>
                <w:szCs w:val="20"/>
                <w:lang w:val="en-GB"/>
              </w:rPr>
            </w:pPr>
            <w:r>
              <w:rPr>
                <w:rFonts w:ascii="Open Sans" w:eastAsia="Times New Roman" w:hAnsi="Open Sans" w:cs="Open Sans"/>
                <w:b/>
                <w:bCs/>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EA6A5A5" w14:textId="76D9EB0C" w:rsidR="00301C23" w:rsidRPr="006036F6" w:rsidRDefault="00757888" w:rsidP="00AE2C1A">
            <w:pPr>
              <w:spacing w:before="240" w:after="240"/>
              <w:rPr>
                <w:rFonts w:ascii="Open Sans" w:eastAsia="Helvetica" w:hAnsi="Open Sans" w:cs="Open Sans"/>
                <w:b/>
                <w:bCs/>
                <w:color w:val="595959" w:themeColor="text1" w:themeTint="A6"/>
                <w:sz w:val="20"/>
                <w:szCs w:val="20"/>
                <w:lang w:eastAsia="zh-CN"/>
              </w:rPr>
            </w:pPr>
            <w:r>
              <w:rPr>
                <w:rFonts w:ascii="Open Sans" w:eastAsia="Helvetica" w:hAnsi="Open Sans" w:cs="Open Sans"/>
                <w:b/>
                <w:bCs/>
                <w:color w:val="595959" w:themeColor="text1" w:themeTint="A6"/>
                <w:sz w:val="20"/>
                <w:szCs w:val="20"/>
                <w:lang w:val="en-GB" w:eastAsia="zh-CN"/>
              </w:rPr>
              <w:t>R</w:t>
            </w:r>
            <w:proofErr w:type="spellStart"/>
            <w:r w:rsidR="00301C23">
              <w:rPr>
                <w:rFonts w:ascii="Open Sans" w:eastAsia="Helvetica" w:hAnsi="Open Sans" w:cs="Open Sans"/>
                <w:b/>
                <w:bCs/>
                <w:color w:val="595959" w:themeColor="text1" w:themeTint="A6"/>
                <w:sz w:val="20"/>
                <w:szCs w:val="20"/>
                <w:lang w:eastAsia="zh-CN"/>
              </w:rPr>
              <w:t>egulatory</w:t>
            </w:r>
            <w:proofErr w:type="spellEnd"/>
            <w:r w:rsidR="00301C23">
              <w:rPr>
                <w:rFonts w:ascii="Open Sans" w:eastAsia="Helvetica" w:hAnsi="Open Sans" w:cs="Open Sans"/>
                <w:b/>
                <w:bCs/>
                <w:color w:val="595959" w:themeColor="text1" w:themeTint="A6"/>
                <w:sz w:val="20"/>
                <w:szCs w:val="20"/>
                <w:lang w:eastAsia="zh-CN"/>
              </w:rPr>
              <w:t xml:space="preserve"> </w:t>
            </w:r>
            <w:r w:rsidR="00E47D49">
              <w:rPr>
                <w:rFonts w:ascii="Open Sans" w:eastAsia="Helvetica" w:hAnsi="Open Sans" w:cs="Open Sans"/>
                <w:b/>
                <w:bCs/>
                <w:color w:val="595959" w:themeColor="text1" w:themeTint="A6"/>
                <w:sz w:val="20"/>
                <w:szCs w:val="20"/>
                <w:lang w:eastAsia="zh-CN"/>
              </w:rPr>
              <w:t>A</w:t>
            </w:r>
            <w:r w:rsidR="004A2067">
              <w:rPr>
                <w:rFonts w:ascii="Open Sans" w:eastAsia="Helvetica" w:hAnsi="Open Sans" w:cs="Open Sans"/>
                <w:b/>
                <w:bCs/>
                <w:color w:val="595959" w:themeColor="text1" w:themeTint="A6"/>
                <w:sz w:val="20"/>
                <w:szCs w:val="20"/>
                <w:lang w:eastAsia="zh-CN"/>
              </w:rPr>
              <w:t>dditionality</w:t>
            </w:r>
            <w:r w:rsidR="00301C23">
              <w:rPr>
                <w:rFonts w:ascii="Open Sans" w:eastAsia="Helvetica" w:hAnsi="Open Sans" w:cs="Open Sans"/>
                <w:b/>
                <w:bCs/>
                <w:color w:val="595959" w:themeColor="text1" w:themeTint="A6"/>
                <w:sz w:val="20"/>
                <w:szCs w:val="20"/>
                <w:lang w:eastAsia="zh-CN"/>
              </w:rPr>
              <w:t xml:space="preserve">: </w:t>
            </w:r>
            <w:r w:rsidR="00FE7B7E" w:rsidRPr="00FE7B7E">
              <w:rPr>
                <w:rFonts w:ascii="Open Sans" w:eastAsia="Helvetica" w:hAnsi="Open Sans" w:cs="Open Sans"/>
                <w:color w:val="595959" w:themeColor="text1" w:themeTint="A6"/>
                <w:sz w:val="20"/>
                <w:szCs w:val="20"/>
                <w:lang w:eastAsia="zh-CN"/>
              </w:rPr>
              <w:t xml:space="preserve">How should the </w:t>
            </w:r>
            <w:r w:rsidR="00AC0E25">
              <w:rPr>
                <w:rFonts w:ascii="Open Sans" w:eastAsia="Helvetica" w:hAnsi="Open Sans" w:cs="Open Sans"/>
                <w:color w:val="595959" w:themeColor="text1" w:themeTint="A6"/>
                <w:sz w:val="20"/>
                <w:szCs w:val="20"/>
                <w:lang w:eastAsia="zh-CN"/>
              </w:rPr>
              <w:t>s</w:t>
            </w:r>
            <w:r w:rsidR="00FE7B7E" w:rsidRPr="00FE7B7E">
              <w:rPr>
                <w:rFonts w:ascii="Open Sans" w:eastAsia="Helvetica" w:hAnsi="Open Sans" w:cs="Open Sans"/>
                <w:color w:val="595959" w:themeColor="text1" w:themeTint="A6"/>
                <w:sz w:val="20"/>
                <w:szCs w:val="20"/>
                <w:lang w:eastAsia="zh-CN"/>
              </w:rPr>
              <w:t>ystem require disclosure of regulatory additionality to ensure transparency and informed decision-making by BCU buyers? Is self-attestation sufficient, or should disclosure follow an established approach (e.g., RSB’s regulatory disclosure framework)? If neither is adequate, what alternative mechanism would you recommend?</w:t>
            </w:r>
          </w:p>
        </w:tc>
      </w:tr>
      <w:tr w:rsidR="00301C23" w:rsidRPr="004A61C3" w14:paraId="4BF69473"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4F0A50C" w14:textId="77777777" w:rsidR="00301C23" w:rsidRPr="004A61C3" w:rsidRDefault="00301C23" w:rsidP="00AE2C1A">
            <w:pPr>
              <w:spacing w:after="0" w:line="240" w:lineRule="auto"/>
              <w:rPr>
                <w:rFonts w:ascii="Open Sans" w:eastAsia="Times New Roman" w:hAnsi="Open Sans" w:cs="Open Sans"/>
                <w:b/>
                <w:bCs/>
                <w:color w:val="595959" w:themeColor="text1" w:themeTint="A6"/>
                <w:sz w:val="20"/>
                <w:szCs w:val="20"/>
                <w:lang w:val="en-GB"/>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EF8703C" w14:textId="47A26C6E" w:rsidR="00301C23" w:rsidRDefault="00301C23" w:rsidP="00AE2C1A">
            <w:pPr>
              <w:spacing w:before="240" w:after="240"/>
              <w:rPr>
                <w:rFonts w:ascii="Open Sans" w:eastAsia="Helvetica" w:hAnsi="Open Sans" w:cs="Open Sans"/>
                <w:b/>
                <w:bCs/>
                <w:color w:val="595959" w:themeColor="text1" w:themeTint="A6"/>
                <w:sz w:val="20"/>
                <w:szCs w:val="20"/>
                <w:lang w:eastAsia="zh-CN"/>
              </w:rPr>
            </w:pPr>
            <w:r w:rsidRPr="004A61C3">
              <w:rPr>
                <w:rFonts w:ascii="Open Sans" w:eastAsia="Times New Roman" w:hAnsi="Open Sans" w:cs="Open Sans"/>
                <w:b/>
                <w:bCs/>
                <w:color w:val="17406D" w:themeColor="text2"/>
                <w:sz w:val="20"/>
                <w:szCs w:val="20"/>
                <w:lang w:val="en-GB"/>
              </w:rPr>
              <w:t>Answer:</w:t>
            </w:r>
          </w:p>
        </w:tc>
      </w:tr>
      <w:tr w:rsidR="0069241E" w:rsidRPr="00F9616D" w14:paraId="6310E6E2"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708BD5D" w14:textId="50269E74" w:rsidR="0069241E" w:rsidRPr="004A61C3" w:rsidRDefault="00301C23">
            <w:pPr>
              <w:spacing w:after="0" w:line="240" w:lineRule="auto"/>
              <w:rPr>
                <w:rFonts w:ascii="Open Sans" w:eastAsia="Times New Roman" w:hAnsi="Open Sans" w:cs="Open Sans"/>
                <w:b/>
                <w:color w:val="595959" w:themeColor="text1" w:themeTint="A6"/>
                <w:sz w:val="20"/>
                <w:szCs w:val="20"/>
                <w:lang w:val="en-GB"/>
              </w:rPr>
            </w:pPr>
            <w:r>
              <w:rPr>
                <w:rFonts w:ascii="Open Sans" w:eastAsia="Times New Roman" w:hAnsi="Open Sans" w:cs="Open Sans"/>
                <w:b/>
                <w:bCs/>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55543A4"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Helvetica" w:hAnsi="Open Sans" w:cs="Open Sans"/>
                <w:b/>
                <w:color w:val="595959" w:themeColor="text1" w:themeTint="A6"/>
                <w:sz w:val="20"/>
                <w:szCs w:val="20"/>
                <w:lang w:val="en-GB"/>
              </w:rPr>
              <w:t>Buyer Guidance on Additionality:</w:t>
            </w:r>
            <w:r w:rsidRPr="004A61C3">
              <w:rPr>
                <w:rFonts w:ascii="Open Sans" w:eastAsia="Helvetica" w:hAnsi="Open Sans" w:cs="Open Sans"/>
                <w:color w:val="595959" w:themeColor="text1" w:themeTint="A6"/>
                <w:sz w:val="20"/>
                <w:szCs w:val="20"/>
              </w:rPr>
              <w:t xml:space="preserve"> For BCU buyers, how do you view the current level of guidance on developing requirements around financial and common-practice additionality (e.g., revenue materiality, long-term financial certainty, in-region impact)?</w:t>
            </w:r>
          </w:p>
        </w:tc>
      </w:tr>
      <w:tr w:rsidR="0069241E" w:rsidRPr="00F9616D" w14:paraId="228C30DB" w14:textId="77777777" w:rsidTr="005842DD">
        <w:trPr>
          <w:trHeight w:val="720"/>
        </w:trPr>
        <w:tc>
          <w:tcPr>
            <w:tcW w:w="428" w:type="dxa"/>
            <w:vMerge/>
            <w:tcBorders>
              <w:left w:val="single" w:sz="4" w:space="0" w:color="595959" w:themeColor="text1" w:themeTint="A6"/>
              <w:right w:val="single" w:sz="4" w:space="0" w:color="595959" w:themeColor="text1" w:themeTint="A6"/>
            </w:tcBorders>
            <w:vAlign w:val="center"/>
          </w:tcPr>
          <w:p w14:paraId="1A765321"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85FE976"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599112F5" w14:textId="09757E02" w:rsidR="0069241E" w:rsidRPr="004A61C3" w:rsidRDefault="0069241E" w:rsidP="0069241E">
      <w:pPr>
        <w:rPr>
          <w:rFonts w:ascii="Open Sans" w:eastAsia="Calibri" w:hAnsi="Open Sans" w:cs="Open Sans"/>
          <w:color w:val="595959"/>
          <w:sz w:val="20"/>
          <w:szCs w:val="20"/>
          <w:lang w:eastAsia="zh-CN"/>
        </w:rPr>
      </w:pPr>
    </w:p>
    <w:p w14:paraId="2D911C6B" w14:textId="3121DA4C"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lastRenderedPageBreak/>
        <w:t xml:space="preserve">Section 4 Product </w:t>
      </w:r>
      <w:r w:rsidR="00E47D49" w:rsidRPr="00764D89">
        <w:rPr>
          <w:rFonts w:ascii="Open Sans" w:eastAsia="Times New Roman" w:hAnsi="Open Sans" w:cs="Open Sans"/>
          <w:b/>
          <w:color w:val="595959"/>
          <w:sz w:val="20"/>
          <w:szCs w:val="20"/>
          <w:u w:val="single"/>
          <w:lang w:val="en-GB"/>
        </w:rPr>
        <w:t>E</w:t>
      </w:r>
      <w:r w:rsidRPr="00764D89">
        <w:rPr>
          <w:rFonts w:ascii="Open Sans" w:eastAsia="Times New Roman" w:hAnsi="Open Sans" w:cs="Open Sans"/>
          <w:b/>
          <w:color w:val="595959"/>
          <w:sz w:val="20"/>
          <w:szCs w:val="20"/>
          <w:u w:val="single"/>
          <w:lang w:val="en-GB"/>
        </w:rPr>
        <w:t xml:space="preserve">missions </w:t>
      </w:r>
      <w:r w:rsidR="00E47D49" w:rsidRPr="00764D89">
        <w:rPr>
          <w:rFonts w:ascii="Open Sans" w:eastAsia="Times New Roman" w:hAnsi="Open Sans" w:cs="Open Sans"/>
          <w:b/>
          <w:color w:val="595959"/>
          <w:sz w:val="20"/>
          <w:szCs w:val="20"/>
          <w:u w:val="single"/>
          <w:lang w:val="en-GB"/>
        </w:rPr>
        <w:t>I</w:t>
      </w:r>
      <w:r w:rsidRPr="00764D89">
        <w:rPr>
          <w:rFonts w:ascii="Open Sans" w:eastAsia="Times New Roman" w:hAnsi="Open Sans" w:cs="Open Sans"/>
          <w:b/>
          <w:color w:val="595959"/>
          <w:sz w:val="20"/>
          <w:szCs w:val="20"/>
          <w:u w:val="single"/>
          <w:lang w:val="en-GB"/>
        </w:rPr>
        <w:t xml:space="preserve">ntensity </w:t>
      </w:r>
      <w:r w:rsidR="00E47D49" w:rsidRPr="00764D89">
        <w:rPr>
          <w:rFonts w:ascii="Open Sans" w:eastAsia="Times New Roman" w:hAnsi="Open Sans" w:cs="Open Sans"/>
          <w:b/>
          <w:color w:val="595959"/>
          <w:sz w:val="20"/>
          <w:szCs w:val="20"/>
          <w:u w:val="single"/>
          <w:lang w:val="en-GB"/>
        </w:rPr>
        <w:t>B</w:t>
      </w:r>
      <w:r w:rsidRPr="00764D89">
        <w:rPr>
          <w:rFonts w:ascii="Open Sans" w:eastAsia="Times New Roman" w:hAnsi="Open Sans" w:cs="Open Sans"/>
          <w:b/>
          <w:color w:val="595959"/>
          <w:sz w:val="20"/>
          <w:szCs w:val="20"/>
          <w:u w:val="single"/>
          <w:lang w:val="en-GB"/>
        </w:rPr>
        <w:t xml:space="preserve">aseline </w:t>
      </w:r>
      <w:r w:rsidR="00E47D49" w:rsidRPr="00764D89">
        <w:rPr>
          <w:rFonts w:ascii="Open Sans" w:eastAsia="Times New Roman" w:hAnsi="Open Sans" w:cs="Open Sans"/>
          <w:b/>
          <w:color w:val="595959"/>
          <w:sz w:val="20"/>
          <w:szCs w:val="20"/>
          <w:u w:val="single"/>
          <w:lang w:val="en-GB"/>
        </w:rPr>
        <w:t>S</w:t>
      </w:r>
      <w:r w:rsidRPr="00764D89">
        <w:rPr>
          <w:rFonts w:ascii="Open Sans" w:eastAsia="Times New Roman" w:hAnsi="Open Sans" w:cs="Open Sans"/>
          <w:b/>
          <w:color w:val="595959"/>
          <w:sz w:val="20"/>
          <w:szCs w:val="20"/>
          <w:u w:val="single"/>
          <w:lang w:val="en-GB"/>
        </w:rPr>
        <w:t>election</w:t>
      </w:r>
    </w:p>
    <w:p w14:paraId="32FBFF6D" w14:textId="77777777" w:rsidR="0069241E" w:rsidRPr="004A61C3" w:rsidRDefault="0069241E" w:rsidP="00AE2C1A">
      <w:pPr>
        <w:textAlignment w:val="baseline"/>
        <w:rPr>
          <w:rFonts w:ascii="Open Sans" w:eastAsia="Times New Roman" w:hAnsi="Open Sans" w:cs="Open Sans"/>
          <w:sz w:val="20"/>
          <w:szCs w:val="20"/>
        </w:rPr>
      </w:pPr>
      <w:r w:rsidRPr="004A61C3">
        <w:rPr>
          <w:rFonts w:ascii="Open Sans" w:eastAsia="Times New Roman" w:hAnsi="Open Sans" w:cs="Open Sans"/>
          <w:sz w:val="20"/>
          <w:szCs w:val="20"/>
        </w:rPr>
        <w:t>The following requirements define how baseline emissions intensities are determined to ensure credible and comparable quantification of reduction outcomes. This guidance covers baselines for iron (4.1) and steel (4.2) and establishes two core benchmarking principles:</w:t>
      </w:r>
    </w:p>
    <w:p w14:paraId="0882C82D" w14:textId="77777777" w:rsidR="0069241E" w:rsidRPr="004A61C3" w:rsidRDefault="0069241E" w:rsidP="00AF0622">
      <w:pPr>
        <w:pStyle w:val="ListParagraph"/>
        <w:numPr>
          <w:ilvl w:val="0"/>
          <w:numId w:val="13"/>
        </w:numPr>
        <w:textAlignment w:val="baseline"/>
        <w:rPr>
          <w:rFonts w:ascii="Open Sans" w:eastAsia="Times New Roman" w:hAnsi="Open Sans" w:cs="Open Sans"/>
          <w:sz w:val="20"/>
          <w:szCs w:val="20"/>
        </w:rPr>
      </w:pPr>
      <w:r w:rsidRPr="004A61C3">
        <w:rPr>
          <w:rFonts w:ascii="Open Sans" w:eastAsia="Times New Roman" w:hAnsi="Open Sans" w:cs="Open Sans"/>
          <w:sz w:val="20"/>
          <w:szCs w:val="20"/>
        </w:rPr>
        <w:t>Benchmark representativeness, which ensures baselines reflect the most likely displaced production based on geography, scrap share, product family, and methodology alignment.</w:t>
      </w:r>
    </w:p>
    <w:p w14:paraId="1C461614" w14:textId="76189834" w:rsidR="0069241E" w:rsidRPr="004A61C3" w:rsidRDefault="0069241E" w:rsidP="00AF0622">
      <w:pPr>
        <w:pStyle w:val="ListParagraph"/>
        <w:numPr>
          <w:ilvl w:val="0"/>
          <w:numId w:val="13"/>
        </w:numPr>
        <w:textAlignment w:val="baseline"/>
        <w:rPr>
          <w:rFonts w:ascii="Open Sans" w:eastAsia="Times New Roman" w:hAnsi="Open Sans" w:cs="Open Sans"/>
          <w:sz w:val="20"/>
          <w:szCs w:val="20"/>
        </w:rPr>
      </w:pPr>
      <w:r w:rsidRPr="004A61C3">
        <w:rPr>
          <w:rFonts w:ascii="Open Sans" w:eastAsia="Times New Roman" w:hAnsi="Open Sans" w:cs="Open Sans"/>
          <w:sz w:val="20"/>
          <w:szCs w:val="20"/>
        </w:rPr>
        <w:t xml:space="preserve">Boundary and methodological consistency, which </w:t>
      </w:r>
      <w:r w:rsidR="00E61653">
        <w:rPr>
          <w:rFonts w:ascii="Open Sans" w:eastAsia="Times New Roman" w:hAnsi="Open Sans" w:cs="Open Sans"/>
          <w:sz w:val="20"/>
          <w:szCs w:val="20"/>
        </w:rPr>
        <w:t xml:space="preserve">helps guide baseline selection and </w:t>
      </w:r>
      <w:r w:rsidRPr="004A61C3">
        <w:rPr>
          <w:rFonts w:ascii="Open Sans" w:eastAsia="Times New Roman" w:hAnsi="Open Sans" w:cs="Open Sans"/>
          <w:sz w:val="20"/>
          <w:szCs w:val="20"/>
        </w:rPr>
        <w:t xml:space="preserve">ensures fair comparison between BCUs and </w:t>
      </w:r>
      <w:r w:rsidR="007E63AB">
        <w:rPr>
          <w:rFonts w:ascii="Open Sans" w:eastAsia="Times New Roman" w:hAnsi="Open Sans" w:cs="Open Sans"/>
          <w:sz w:val="20"/>
          <w:szCs w:val="20"/>
        </w:rPr>
        <w:t>baseline</w:t>
      </w:r>
      <w:r w:rsidRPr="004A61C3">
        <w:rPr>
          <w:rFonts w:ascii="Open Sans" w:eastAsia="Times New Roman" w:hAnsi="Open Sans" w:cs="Open Sans"/>
          <w:sz w:val="20"/>
          <w:szCs w:val="20"/>
        </w:rPr>
        <w:t xml:space="preserve"> emissions intensities.</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239BEC03"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47C9CBCA"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4.1 Iron Baseline</w:t>
            </w:r>
          </w:p>
        </w:tc>
      </w:tr>
      <w:tr w:rsidR="0069241E" w:rsidRPr="00F9616D" w14:paraId="5918A28F" w14:textId="77777777" w:rsidTr="00E61653">
        <w:trPr>
          <w:trHeight w:val="1817"/>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FB9EA96" w14:textId="77777777" w:rsidR="0069241E" w:rsidRPr="00E61653" w:rsidRDefault="0069241E">
            <w:pPr>
              <w:pStyle w:val="NormalWeb"/>
              <w:rPr>
                <w:rFonts w:ascii="Open Sans" w:hAnsi="Open Sans" w:cs="Open Sans"/>
                <w:color w:val="595959" w:themeColor="text1" w:themeTint="A6"/>
                <w:sz w:val="20"/>
                <w:szCs w:val="20"/>
              </w:rPr>
            </w:pPr>
            <w:r w:rsidRPr="00E61653">
              <w:rPr>
                <w:rFonts w:ascii="Open Sans" w:hAnsi="Open Sans" w:cs="Open Sans"/>
                <w:color w:val="595959" w:themeColor="text1" w:themeTint="A6"/>
                <w:sz w:val="20"/>
                <w:szCs w:val="20"/>
              </w:rPr>
              <w:t>Iron baselines define the reference emissions intensity against which iron EAC performance is assessed.</w:t>
            </w:r>
          </w:p>
          <w:p w14:paraId="0A693883" w14:textId="42CDD629" w:rsidR="0069241E" w:rsidRPr="00E61653" w:rsidRDefault="0069241E" w:rsidP="008D7EBE">
            <w:pPr>
              <w:pStyle w:val="NormalWeb"/>
              <w:numPr>
                <w:ilvl w:val="0"/>
                <w:numId w:val="24"/>
              </w:numPr>
              <w:rPr>
                <w:rFonts w:ascii="Open Sans" w:hAnsi="Open Sans" w:cs="Open Sans"/>
                <w:color w:val="595959" w:themeColor="text1" w:themeTint="A6"/>
                <w:sz w:val="20"/>
                <w:szCs w:val="20"/>
              </w:rPr>
            </w:pPr>
            <w:r w:rsidRPr="00E61653">
              <w:rPr>
                <w:rFonts w:ascii="Open Sans" w:hAnsi="Open Sans" w:cs="Open Sans"/>
                <w:color w:val="595959" w:themeColor="text1" w:themeTint="A6"/>
                <w:sz w:val="20"/>
                <w:szCs w:val="20"/>
              </w:rPr>
              <w:t xml:space="preserve">Producers shall use </w:t>
            </w:r>
            <w:r w:rsidR="00E61653" w:rsidRPr="00E61653">
              <w:rPr>
                <w:rFonts w:ascii="Open Sans" w:hAnsi="Open Sans" w:cs="Open Sans"/>
                <w:color w:val="595959" w:themeColor="text1" w:themeTint="A6"/>
                <w:sz w:val="20"/>
                <w:szCs w:val="20"/>
              </w:rPr>
              <w:t>operational</w:t>
            </w:r>
            <w:r w:rsidRPr="00E61653">
              <w:rPr>
                <w:rFonts w:ascii="Open Sans" w:hAnsi="Open Sans" w:cs="Open Sans"/>
                <w:color w:val="595959" w:themeColor="text1" w:themeTint="A6"/>
                <w:sz w:val="20"/>
                <w:szCs w:val="20"/>
              </w:rPr>
              <w:t>-level or boundary-consistent iron baselines where available.</w:t>
            </w:r>
          </w:p>
          <w:p w14:paraId="01A9C007" w14:textId="249D28DC" w:rsidR="0069241E" w:rsidRPr="00E61653" w:rsidRDefault="0069241E" w:rsidP="008D7EBE">
            <w:pPr>
              <w:pStyle w:val="NormalWeb"/>
              <w:numPr>
                <w:ilvl w:val="0"/>
                <w:numId w:val="24"/>
              </w:numPr>
              <w:rPr>
                <w:rFonts w:ascii="Open Sans" w:hAnsi="Open Sans" w:cs="Open Sans"/>
                <w:color w:val="595959" w:themeColor="text1" w:themeTint="A6"/>
                <w:sz w:val="20"/>
                <w:szCs w:val="20"/>
              </w:rPr>
            </w:pPr>
            <w:r w:rsidRPr="00E61653">
              <w:rPr>
                <w:rFonts w:ascii="Open Sans" w:hAnsi="Open Sans" w:cs="Open Sans"/>
                <w:color w:val="595959" w:themeColor="text1" w:themeTint="A6"/>
                <w:sz w:val="20"/>
                <w:szCs w:val="20"/>
              </w:rPr>
              <w:t xml:space="preserve">Where such baselines are unavailable, </w:t>
            </w:r>
            <w:r w:rsidR="001C3E05" w:rsidRPr="001C3E05">
              <w:rPr>
                <w:rFonts w:ascii="Open Sans" w:hAnsi="Open Sans" w:cs="Open Sans"/>
                <w:color w:val="595959" w:themeColor="text1" w:themeTint="A6"/>
                <w:sz w:val="20"/>
                <w:szCs w:val="20"/>
              </w:rPr>
              <w:t>CBAM default</w:t>
            </w:r>
            <w:r w:rsidRPr="001C3E05">
              <w:rPr>
                <w:rFonts w:ascii="Open Sans" w:hAnsi="Open Sans" w:cs="Open Sans"/>
                <w:color w:val="595959" w:themeColor="text1" w:themeTint="A6"/>
                <w:sz w:val="20"/>
                <w:szCs w:val="20"/>
              </w:rPr>
              <w:t xml:space="preserve"> values </w:t>
            </w:r>
            <w:r w:rsidR="001C3E05" w:rsidRPr="001C3E05">
              <w:rPr>
                <w:rFonts w:ascii="Open Sans" w:hAnsi="Open Sans" w:cs="Open Sans"/>
                <w:color w:val="595959" w:themeColor="text1" w:themeTint="A6"/>
                <w:sz w:val="20"/>
                <w:szCs w:val="20"/>
              </w:rPr>
              <w:t xml:space="preserve">for iron products (Pig Iron 7201 and DRI 7203) </w:t>
            </w:r>
            <w:r w:rsidRPr="00E61653">
              <w:rPr>
                <w:rFonts w:ascii="Open Sans" w:hAnsi="Open Sans" w:cs="Open Sans"/>
                <w:color w:val="595959" w:themeColor="text1" w:themeTint="A6"/>
                <w:sz w:val="20"/>
                <w:szCs w:val="20"/>
              </w:rPr>
              <w:t>may be applied as an interim solution</w:t>
            </w:r>
            <w:r w:rsidR="00F87648">
              <w:rPr>
                <w:rFonts w:ascii="Open Sans" w:hAnsi="Open Sans" w:cs="Open Sans"/>
                <w:color w:val="595959" w:themeColor="text1" w:themeTint="A6"/>
                <w:sz w:val="20"/>
                <w:szCs w:val="20"/>
              </w:rPr>
              <w:t xml:space="preserve"> with boundary adjustments applied as needed</w:t>
            </w:r>
            <w:r>
              <w:rPr>
                <w:rFonts w:ascii="Open Sans" w:hAnsi="Open Sans" w:cs="Open Sans"/>
                <w:color w:val="595959" w:themeColor="text1" w:themeTint="A6"/>
                <w:sz w:val="20"/>
                <w:szCs w:val="20"/>
              </w:rPr>
              <w:t>.</w:t>
            </w:r>
          </w:p>
          <w:p w14:paraId="68387620" w14:textId="7AC07643" w:rsidR="0069241E" w:rsidRPr="004A61C3" w:rsidRDefault="0069241E" w:rsidP="008D7EBE">
            <w:pPr>
              <w:pStyle w:val="NormalWeb"/>
              <w:numPr>
                <w:ilvl w:val="0"/>
                <w:numId w:val="24"/>
              </w:numPr>
              <w:rPr>
                <w:rFonts w:ascii="Open Sans" w:hAnsi="Open Sans" w:cs="Open Sans"/>
                <w:sz w:val="20"/>
                <w:szCs w:val="20"/>
              </w:rPr>
            </w:pPr>
            <w:r w:rsidRPr="00E61653">
              <w:rPr>
                <w:rFonts w:ascii="Open Sans" w:hAnsi="Open Sans" w:cs="Open Sans"/>
                <w:color w:val="595959" w:themeColor="text1" w:themeTint="A6"/>
                <w:sz w:val="20"/>
                <w:szCs w:val="20"/>
              </w:rPr>
              <w:t xml:space="preserve">Baseline selection shall account for boundary differences and upstream emissions to maintain comparability with </w:t>
            </w:r>
            <w:r w:rsidR="000E62C2">
              <w:rPr>
                <w:rFonts w:ascii="Open Sans" w:hAnsi="Open Sans" w:cs="Open Sans"/>
                <w:color w:val="595959" w:themeColor="text1" w:themeTint="A6"/>
                <w:sz w:val="20"/>
                <w:szCs w:val="20"/>
              </w:rPr>
              <w:t>s</w:t>
            </w:r>
            <w:r w:rsidRPr="00E61653">
              <w:rPr>
                <w:rFonts w:ascii="Open Sans" w:hAnsi="Open Sans" w:cs="Open Sans"/>
                <w:color w:val="595959" w:themeColor="text1" w:themeTint="A6"/>
                <w:sz w:val="20"/>
                <w:szCs w:val="20"/>
              </w:rPr>
              <w:t>ystem measurement requirements.</w:t>
            </w:r>
          </w:p>
        </w:tc>
      </w:tr>
      <w:tr w:rsidR="0069241E" w:rsidRPr="00F9616D" w14:paraId="6A3D1257" w14:textId="77777777" w:rsidTr="00521520">
        <w:trPr>
          <w:trHeight w:val="962"/>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12133B3"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1C91526" w14:textId="7387E94C" w:rsidR="0069241E" w:rsidRPr="004A61C3" w:rsidRDefault="00521520">
            <w:pPr>
              <w:spacing w:before="240" w:after="240"/>
              <w:rPr>
                <w:rFonts w:ascii="Open Sans" w:eastAsia="Helvetica" w:hAnsi="Open Sans" w:cs="Open Sans"/>
                <w:color w:val="595959" w:themeColor="text1" w:themeTint="A6"/>
                <w:sz w:val="20"/>
                <w:szCs w:val="20"/>
              </w:rPr>
            </w:pPr>
            <w:r>
              <w:rPr>
                <w:rFonts w:ascii="Open Sans" w:eastAsia="Helvetica" w:hAnsi="Open Sans" w:cs="Open Sans"/>
                <w:b/>
                <w:bCs/>
                <w:color w:val="595959" w:themeColor="text1" w:themeTint="A6"/>
                <w:sz w:val="20"/>
                <w:szCs w:val="20"/>
              </w:rPr>
              <w:t xml:space="preserve">Interim Solution for </w:t>
            </w:r>
            <w:r w:rsidR="0069241E" w:rsidRPr="004A61C3">
              <w:rPr>
                <w:rFonts w:ascii="Open Sans" w:eastAsia="Helvetica" w:hAnsi="Open Sans" w:cs="Open Sans"/>
                <w:b/>
                <w:color w:val="595959" w:themeColor="text1" w:themeTint="A6"/>
                <w:sz w:val="20"/>
                <w:szCs w:val="20"/>
              </w:rPr>
              <w:t xml:space="preserve">Iron Baseline: </w:t>
            </w:r>
            <w:r w:rsidR="0069241E" w:rsidRPr="004A61C3">
              <w:rPr>
                <w:rFonts w:ascii="Open Sans" w:eastAsia="Helvetica" w:hAnsi="Open Sans" w:cs="Open Sans"/>
                <w:color w:val="595959" w:themeColor="text1" w:themeTint="A6"/>
                <w:sz w:val="20"/>
                <w:szCs w:val="20"/>
              </w:rPr>
              <w:t>What are your thoughts on the recommended interim solutions for selecting iron baselines and the use of CBAM for default benchmark values?</w:t>
            </w:r>
            <w:r w:rsidR="009B3610">
              <w:rPr>
                <w:rFonts w:ascii="Open Sans" w:eastAsia="Helvetica" w:hAnsi="Open Sans" w:cs="Open Sans"/>
                <w:color w:val="595959" w:themeColor="text1" w:themeTint="A6"/>
                <w:sz w:val="20"/>
                <w:szCs w:val="20"/>
              </w:rPr>
              <w:t xml:space="preserve"> Does this feel like a sufficient approach in the near term?</w:t>
            </w:r>
          </w:p>
        </w:tc>
      </w:tr>
      <w:tr w:rsidR="0069241E" w:rsidRPr="00F9616D" w14:paraId="369D0BA7"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3F59502"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623BCD"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bl>
    <w:p w14:paraId="41D4D9E3" w14:textId="77777777" w:rsidR="0069241E" w:rsidRPr="004A61C3" w:rsidRDefault="0069241E"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2C57FE25"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1DB7B99A"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4.2 Steel Baseline</w:t>
            </w:r>
          </w:p>
        </w:tc>
      </w:tr>
      <w:tr w:rsidR="0069241E" w:rsidRPr="00F9616D" w14:paraId="67C20FB2"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6BDA9EE" w14:textId="4485F4AE"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Steel baselines establish the reference emissions intensity against which crude steel BCUs quantify reduction outcomes. Baseline selection shall reflect the most likely displaced production and remain consistent with the </w:t>
            </w:r>
            <w:r w:rsidR="003F617D">
              <w:rPr>
                <w:rFonts w:ascii="Open Sans" w:eastAsia="Calibri" w:hAnsi="Open Sans" w:cs="Open Sans"/>
                <w:color w:val="595959" w:themeColor="text1" w:themeTint="A6"/>
                <w:sz w:val="20"/>
                <w:szCs w:val="20"/>
              </w:rPr>
              <w:t>s</w:t>
            </w:r>
            <w:r w:rsidRPr="004A61C3">
              <w:rPr>
                <w:rFonts w:ascii="Open Sans" w:eastAsia="Calibri" w:hAnsi="Open Sans" w:cs="Open Sans"/>
                <w:color w:val="595959" w:themeColor="text1" w:themeTint="A6"/>
                <w:sz w:val="20"/>
                <w:szCs w:val="20"/>
              </w:rPr>
              <w:t>ystem’s threshold methodology. Baselines shall:</w:t>
            </w:r>
          </w:p>
          <w:p w14:paraId="752CFD27" w14:textId="77777777" w:rsidR="0069241E" w:rsidRPr="004A61C3" w:rsidRDefault="0069241E" w:rsidP="008D7EBE">
            <w:pPr>
              <w:pStyle w:val="ListParagraph"/>
              <w:numPr>
                <w:ilvl w:val="0"/>
                <w:numId w:val="29"/>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Reflect scrap share consistent with the emissions intensity threshold methodology to prevent distortion of reduction claims.</w:t>
            </w:r>
          </w:p>
          <w:p w14:paraId="59F8BE5F" w14:textId="77777777" w:rsidR="0069241E" w:rsidRPr="004A61C3" w:rsidRDefault="0069241E" w:rsidP="008D7EBE">
            <w:pPr>
              <w:pStyle w:val="ListParagraph"/>
              <w:numPr>
                <w:ilvl w:val="0"/>
                <w:numId w:val="2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lastRenderedPageBreak/>
              <w:t>Align, where feasible, with the geographic region and production characteristics of the displaced steel.</w:t>
            </w:r>
          </w:p>
          <w:p w14:paraId="36AC306F" w14:textId="77777777" w:rsidR="0069241E" w:rsidRPr="004A61C3" w:rsidRDefault="0069241E" w:rsidP="008D7EBE">
            <w:pPr>
              <w:pStyle w:val="ListParagraph"/>
              <w:numPr>
                <w:ilvl w:val="0"/>
                <w:numId w:val="2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Correspond to comparable product families (e.g., flat or long) to preserve functional equivalence.</w:t>
            </w:r>
          </w:p>
          <w:p w14:paraId="06CAD7B6" w14:textId="77777777" w:rsidR="0069241E" w:rsidRPr="004A61C3" w:rsidRDefault="0069241E" w:rsidP="008D7EBE">
            <w:pPr>
              <w:pStyle w:val="ListParagraph"/>
              <w:numPr>
                <w:ilvl w:val="0"/>
                <w:numId w:val="2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Have values derived using boundary-consistent and methodologically aligned emissions accounting approaches.</w:t>
            </w:r>
          </w:p>
          <w:p w14:paraId="2EC21C3D" w14:textId="77777777" w:rsidR="0069241E" w:rsidRPr="004A61C3" w:rsidRDefault="0069241E" w:rsidP="008D7EBE">
            <w:pPr>
              <w:pStyle w:val="ListParagraph"/>
              <w:numPr>
                <w:ilvl w:val="0"/>
                <w:numId w:val="2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Maintain methodological transparency if defined interim benchmark approaches are applied (where fully region- and product-specific baselines are unavailable).</w:t>
            </w:r>
          </w:p>
        </w:tc>
      </w:tr>
      <w:tr w:rsidR="0069241E" w:rsidRPr="00F9616D" w14:paraId="2626166E"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AE12111"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lastRenderedPageBreak/>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9BE5740" w14:textId="62D2CE05"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 xml:space="preserve">Sliding Scale Approach: </w:t>
            </w:r>
            <w:r w:rsidR="00775E61">
              <w:rPr>
                <w:rFonts w:ascii="Open Sans" w:eastAsia="Helvetica" w:hAnsi="Open Sans" w:cs="Open Sans"/>
                <w:bCs/>
                <w:color w:val="595959" w:themeColor="text1" w:themeTint="A6"/>
                <w:sz w:val="20"/>
                <w:szCs w:val="20"/>
              </w:rPr>
              <w:t xml:space="preserve">Do </w:t>
            </w:r>
            <w:r w:rsidRPr="004A61C3">
              <w:rPr>
                <w:rFonts w:ascii="Open Sans" w:eastAsia="Helvetica" w:hAnsi="Open Sans" w:cs="Open Sans"/>
                <w:color w:val="595959" w:themeColor="text1" w:themeTint="A6"/>
                <w:sz w:val="20"/>
                <w:szCs w:val="20"/>
              </w:rPr>
              <w:t xml:space="preserve">you </w:t>
            </w:r>
            <w:r w:rsidR="002D03E5">
              <w:rPr>
                <w:rFonts w:ascii="Open Sans" w:eastAsia="Helvetica" w:hAnsi="Open Sans" w:cs="Open Sans"/>
                <w:color w:val="595959" w:themeColor="text1" w:themeTint="A6"/>
                <w:sz w:val="20"/>
                <w:szCs w:val="20"/>
              </w:rPr>
              <w:t>agree with</w:t>
            </w:r>
            <w:r w:rsidRPr="004A61C3">
              <w:rPr>
                <w:rFonts w:ascii="Open Sans" w:eastAsia="Helvetica" w:hAnsi="Open Sans" w:cs="Open Sans"/>
                <w:color w:val="595959" w:themeColor="text1" w:themeTint="A6"/>
                <w:sz w:val="20"/>
                <w:szCs w:val="20"/>
              </w:rPr>
              <w:t xml:space="preserve"> applying a sliding scale approach for crude-steel baselines to maintain consistency with the underlying </w:t>
            </w:r>
            <w:r w:rsidR="002D03E5">
              <w:rPr>
                <w:rFonts w:ascii="Open Sans" w:eastAsia="Helvetica" w:hAnsi="Open Sans" w:cs="Open Sans"/>
                <w:color w:val="595959" w:themeColor="text1" w:themeTint="A6"/>
                <w:sz w:val="20"/>
                <w:szCs w:val="20"/>
              </w:rPr>
              <w:t xml:space="preserve">methodology for </w:t>
            </w:r>
            <w:r w:rsidR="002068A7">
              <w:rPr>
                <w:rFonts w:ascii="Open Sans" w:eastAsia="Helvetica" w:hAnsi="Open Sans" w:cs="Open Sans"/>
                <w:color w:val="595959" w:themeColor="text1" w:themeTint="A6"/>
                <w:sz w:val="20"/>
                <w:szCs w:val="20"/>
              </w:rPr>
              <w:t xml:space="preserve">the </w:t>
            </w:r>
            <w:r w:rsidRPr="004A61C3">
              <w:rPr>
                <w:rFonts w:ascii="Open Sans" w:eastAsia="Helvetica" w:hAnsi="Open Sans" w:cs="Open Sans"/>
                <w:color w:val="595959" w:themeColor="text1" w:themeTint="A6"/>
                <w:sz w:val="20"/>
                <w:szCs w:val="20"/>
              </w:rPr>
              <w:t>emissions threshold?</w:t>
            </w:r>
          </w:p>
        </w:tc>
      </w:tr>
      <w:tr w:rsidR="0069241E" w:rsidRPr="00F9616D" w14:paraId="2075AC09"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E374E2F"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ABF1AD8"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447F7BCF"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5D558765"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5381B63" w14:textId="6208994A" w:rsidR="0069241E" w:rsidRPr="004A61C3" w:rsidRDefault="007B550D">
            <w:pPr>
              <w:spacing w:before="240" w:after="240"/>
              <w:rPr>
                <w:rFonts w:ascii="Open Sans" w:eastAsia="Times New Roman" w:hAnsi="Open Sans" w:cs="Open Sans"/>
                <w:b/>
                <w:color w:val="595959" w:themeColor="text1" w:themeTint="A6"/>
                <w:sz w:val="20"/>
                <w:szCs w:val="20"/>
                <w:lang w:val="en-GB"/>
              </w:rPr>
            </w:pPr>
            <w:r w:rsidRPr="004A61C3">
              <w:rPr>
                <w:rFonts w:ascii="Open Sans" w:eastAsia="Helvetica" w:hAnsi="Open Sans" w:cs="Open Sans"/>
                <w:b/>
                <w:bCs/>
                <w:color w:val="595959" w:themeColor="text1" w:themeTint="A6"/>
                <w:sz w:val="20"/>
                <w:szCs w:val="20"/>
              </w:rPr>
              <w:t xml:space="preserve">Sliding Scale Approach: </w:t>
            </w:r>
            <w:r w:rsidRPr="004A61C3">
              <w:rPr>
                <w:rFonts w:ascii="Open Sans" w:eastAsia="Helvetica" w:hAnsi="Open Sans" w:cs="Open Sans"/>
                <w:color w:val="595959" w:themeColor="text1" w:themeTint="A6"/>
                <w:sz w:val="20"/>
                <w:szCs w:val="20"/>
              </w:rPr>
              <w:t>What are your thoughts</w:t>
            </w:r>
            <w:r>
              <w:rPr>
                <w:rFonts w:ascii="Open Sans" w:eastAsia="Helvetica" w:hAnsi="Open Sans" w:cs="Open Sans"/>
                <w:color w:val="595959" w:themeColor="text1" w:themeTint="A6"/>
                <w:sz w:val="20"/>
                <w:szCs w:val="20"/>
              </w:rPr>
              <w:t xml:space="preserve"> on applying this approach for baselining? Do you </w:t>
            </w:r>
            <w:r w:rsidR="002068A7">
              <w:rPr>
                <w:rFonts w:ascii="Open Sans" w:eastAsia="Helvetica" w:hAnsi="Open Sans" w:cs="Open Sans"/>
                <w:color w:val="595959" w:themeColor="text1" w:themeTint="A6"/>
                <w:sz w:val="20"/>
                <w:szCs w:val="20"/>
              </w:rPr>
              <w:t xml:space="preserve">find </w:t>
            </w:r>
            <w:r>
              <w:rPr>
                <w:rFonts w:ascii="Open Sans" w:eastAsia="Helvetica" w:hAnsi="Open Sans" w:cs="Open Sans"/>
                <w:color w:val="595959" w:themeColor="text1" w:themeTint="A6"/>
                <w:sz w:val="20"/>
                <w:szCs w:val="20"/>
              </w:rPr>
              <w:t>our proposed approach feasible and applicable?</w:t>
            </w:r>
          </w:p>
        </w:tc>
      </w:tr>
      <w:tr w:rsidR="0069241E" w:rsidRPr="00F9616D" w14:paraId="6F991D83"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9BD7BAE"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53EA6FE"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4118A40E"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00E101E" w14:textId="77777777"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8D2D89"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Helvetica" w:hAnsi="Open Sans" w:cs="Open Sans"/>
                <w:b/>
                <w:color w:val="595959" w:themeColor="text1" w:themeTint="A6"/>
                <w:sz w:val="20"/>
                <w:szCs w:val="20"/>
              </w:rPr>
              <w:t xml:space="preserve">Clarity of Baseline Options: </w:t>
            </w:r>
            <w:r w:rsidRPr="004A61C3">
              <w:rPr>
                <w:rFonts w:ascii="Open Sans" w:eastAsia="Helvetica" w:hAnsi="Open Sans" w:cs="Open Sans"/>
                <w:color w:val="595959" w:themeColor="text1" w:themeTint="A6"/>
                <w:sz w:val="20"/>
                <w:szCs w:val="20"/>
              </w:rPr>
              <w:t>Do you find the different baseline selection options offered and assessed clear and helpful?</w:t>
            </w:r>
          </w:p>
        </w:tc>
      </w:tr>
      <w:tr w:rsidR="0069241E" w:rsidRPr="00F9616D" w14:paraId="2B4C739E"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95A8B45"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19DBC45"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2EFC31FE" w14:textId="77777777" w:rsidR="0069241E" w:rsidRPr="004A61C3" w:rsidRDefault="0069241E" w:rsidP="00AE2C1A">
      <w:pPr>
        <w:textAlignment w:val="baseline"/>
        <w:rPr>
          <w:rFonts w:ascii="Open Sans" w:eastAsia="Times New Roman" w:hAnsi="Open Sans" w:cs="Open Sans"/>
          <w:sz w:val="20"/>
          <w:szCs w:val="20"/>
        </w:rPr>
      </w:pPr>
    </w:p>
    <w:p w14:paraId="1C169C97" w14:textId="062BAF3D"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 xml:space="preserve">Section 5 Emissions </w:t>
      </w:r>
      <w:r w:rsidR="00E47D49" w:rsidRPr="00764D89">
        <w:rPr>
          <w:rFonts w:ascii="Open Sans" w:eastAsia="Times New Roman" w:hAnsi="Open Sans" w:cs="Open Sans"/>
          <w:b/>
          <w:color w:val="595959"/>
          <w:sz w:val="20"/>
          <w:szCs w:val="20"/>
          <w:u w:val="single"/>
          <w:lang w:val="en-GB"/>
        </w:rPr>
        <w:t>P</w:t>
      </w:r>
      <w:r w:rsidRPr="00764D89">
        <w:rPr>
          <w:rFonts w:ascii="Open Sans" w:eastAsia="Times New Roman" w:hAnsi="Open Sans" w:cs="Open Sans"/>
          <w:b/>
          <w:color w:val="595959"/>
          <w:sz w:val="20"/>
          <w:szCs w:val="20"/>
          <w:u w:val="single"/>
          <w:lang w:val="en-GB"/>
        </w:rPr>
        <w:t xml:space="preserve">erformance </w:t>
      </w:r>
      <w:r w:rsidR="00E47D49" w:rsidRPr="00764D89">
        <w:rPr>
          <w:rFonts w:ascii="Open Sans" w:eastAsia="Times New Roman" w:hAnsi="Open Sans" w:cs="Open Sans"/>
          <w:b/>
          <w:color w:val="595959"/>
          <w:sz w:val="20"/>
          <w:szCs w:val="20"/>
          <w:u w:val="single"/>
          <w:lang w:val="en-GB"/>
        </w:rPr>
        <w:t>M</w:t>
      </w:r>
      <w:r w:rsidRPr="00764D89">
        <w:rPr>
          <w:rFonts w:ascii="Open Sans" w:eastAsia="Times New Roman" w:hAnsi="Open Sans" w:cs="Open Sans"/>
          <w:b/>
          <w:color w:val="595959"/>
          <w:sz w:val="20"/>
          <w:szCs w:val="20"/>
          <w:u w:val="single"/>
          <w:lang w:val="en-GB"/>
        </w:rPr>
        <w:t xml:space="preserve">easurement and </w:t>
      </w:r>
      <w:r w:rsidR="00E47D49" w:rsidRPr="00764D89">
        <w:rPr>
          <w:rFonts w:ascii="Open Sans" w:eastAsia="Times New Roman" w:hAnsi="Open Sans" w:cs="Open Sans"/>
          <w:b/>
          <w:color w:val="595959"/>
          <w:sz w:val="20"/>
          <w:szCs w:val="20"/>
          <w:u w:val="single"/>
          <w:lang w:val="en-GB"/>
        </w:rPr>
        <w:t>V</w:t>
      </w:r>
      <w:r w:rsidRPr="00764D89">
        <w:rPr>
          <w:rFonts w:ascii="Open Sans" w:eastAsia="Times New Roman" w:hAnsi="Open Sans" w:cs="Open Sans"/>
          <w:b/>
          <w:color w:val="595959"/>
          <w:sz w:val="20"/>
          <w:szCs w:val="20"/>
          <w:u w:val="single"/>
          <w:lang w:val="en-GB"/>
        </w:rPr>
        <w:t>erification</w:t>
      </w:r>
    </w:p>
    <w:p w14:paraId="2A8212FD" w14:textId="39993B7A" w:rsidR="0069241E" w:rsidRPr="00642801" w:rsidRDefault="0069241E" w:rsidP="00AE2C1A">
      <w:pPr>
        <w:textAlignment w:val="baseline"/>
        <w:rPr>
          <w:rFonts w:ascii="Open Sans" w:eastAsia="Times New Roman" w:hAnsi="Open Sans" w:cs="Open Sans"/>
          <w:color w:val="595959" w:themeColor="text1" w:themeTint="A6"/>
          <w:sz w:val="20"/>
          <w:szCs w:val="20"/>
        </w:rPr>
      </w:pPr>
      <w:r w:rsidRPr="00642801">
        <w:rPr>
          <w:rFonts w:ascii="Open Sans" w:eastAsia="Times New Roman" w:hAnsi="Open Sans" w:cs="Open Sans"/>
          <w:color w:val="595959" w:themeColor="text1" w:themeTint="A6"/>
          <w:sz w:val="20"/>
          <w:szCs w:val="20"/>
        </w:rPr>
        <w:t>The following requirements define how emissions performance is measured, allocated, and verified to ensure comparability and credibility of BCUs</w:t>
      </w:r>
      <w:r>
        <w:rPr>
          <w:rFonts w:ascii="Open Sans" w:eastAsia="Times New Roman" w:hAnsi="Open Sans" w:cs="Open Sans"/>
          <w:color w:val="595959" w:themeColor="text1" w:themeTint="A6"/>
          <w:sz w:val="20"/>
          <w:szCs w:val="20"/>
        </w:rPr>
        <w:t>:</w:t>
      </w:r>
    </w:p>
    <w:p w14:paraId="5B1F4E59" w14:textId="77777777" w:rsidR="0069241E" w:rsidRPr="00642801" w:rsidRDefault="0069241E" w:rsidP="00AF0622">
      <w:pPr>
        <w:pStyle w:val="ListParagraph"/>
        <w:numPr>
          <w:ilvl w:val="0"/>
          <w:numId w:val="14"/>
        </w:numPr>
        <w:ind w:left="360"/>
        <w:textAlignment w:val="baseline"/>
        <w:rPr>
          <w:rFonts w:ascii="Open Sans" w:eastAsia="Times New Roman" w:hAnsi="Open Sans" w:cs="Open Sans"/>
          <w:color w:val="595959" w:themeColor="text1" w:themeTint="A6"/>
          <w:sz w:val="20"/>
          <w:szCs w:val="20"/>
        </w:rPr>
      </w:pPr>
      <w:r w:rsidRPr="00642801">
        <w:rPr>
          <w:rFonts w:ascii="Open Sans" w:eastAsia="Times New Roman" w:hAnsi="Open Sans" w:cs="Open Sans"/>
          <w:b/>
          <w:color w:val="595959" w:themeColor="text1" w:themeTint="A6"/>
          <w:sz w:val="20"/>
          <w:szCs w:val="20"/>
        </w:rPr>
        <w:t>Methodological alignment</w:t>
      </w:r>
      <w:r w:rsidRPr="00642801">
        <w:rPr>
          <w:rFonts w:ascii="Open Sans" w:eastAsia="Times New Roman" w:hAnsi="Open Sans" w:cs="Open Sans"/>
          <w:color w:val="595959" w:themeColor="text1" w:themeTint="A6"/>
          <w:sz w:val="20"/>
          <w:szCs w:val="20"/>
        </w:rPr>
        <w:t>, which ensures emissions are measured using internationally recognized standards and consistent system boundaries (Section 5.1).</w:t>
      </w:r>
    </w:p>
    <w:p w14:paraId="5B0D8F63" w14:textId="77777777" w:rsidR="0069241E" w:rsidRPr="00642801" w:rsidRDefault="0069241E" w:rsidP="00AF0622">
      <w:pPr>
        <w:pStyle w:val="ListParagraph"/>
        <w:numPr>
          <w:ilvl w:val="0"/>
          <w:numId w:val="14"/>
        </w:numPr>
        <w:ind w:left="360"/>
        <w:textAlignment w:val="baseline"/>
        <w:rPr>
          <w:rFonts w:ascii="Open Sans" w:eastAsia="Times New Roman" w:hAnsi="Open Sans" w:cs="Open Sans"/>
          <w:color w:val="595959" w:themeColor="text1" w:themeTint="A6"/>
          <w:sz w:val="20"/>
          <w:szCs w:val="20"/>
        </w:rPr>
      </w:pPr>
      <w:r w:rsidRPr="00642801">
        <w:rPr>
          <w:rFonts w:ascii="Open Sans" w:eastAsia="Times New Roman" w:hAnsi="Open Sans" w:cs="Open Sans"/>
          <w:b/>
          <w:color w:val="595959" w:themeColor="text1" w:themeTint="A6"/>
          <w:sz w:val="20"/>
          <w:szCs w:val="20"/>
        </w:rPr>
        <w:lastRenderedPageBreak/>
        <w:t>Allocation rules</w:t>
      </w:r>
      <w:r w:rsidRPr="00642801">
        <w:rPr>
          <w:rFonts w:ascii="Open Sans" w:eastAsia="Times New Roman" w:hAnsi="Open Sans" w:cs="Open Sans"/>
          <w:color w:val="595959" w:themeColor="text1" w:themeTint="A6"/>
          <w:sz w:val="20"/>
          <w:szCs w:val="20"/>
        </w:rPr>
        <w:t>, which prevent selective attribution of emissions reductions while allowing limited, verified allocation of green iron inputs (Section 5.2).</w:t>
      </w:r>
    </w:p>
    <w:p w14:paraId="3242A7C0" w14:textId="33BF4639" w:rsidR="0069241E" w:rsidRPr="00642801" w:rsidRDefault="0069241E" w:rsidP="00AF0622">
      <w:pPr>
        <w:pStyle w:val="ListParagraph"/>
        <w:numPr>
          <w:ilvl w:val="0"/>
          <w:numId w:val="14"/>
        </w:numPr>
        <w:ind w:left="360"/>
        <w:textAlignment w:val="baseline"/>
        <w:rPr>
          <w:rFonts w:ascii="Open Sans" w:eastAsia="Times New Roman" w:hAnsi="Open Sans" w:cs="Open Sans"/>
          <w:color w:val="595959" w:themeColor="text1" w:themeTint="A6"/>
          <w:sz w:val="20"/>
          <w:szCs w:val="20"/>
        </w:rPr>
      </w:pPr>
      <w:r w:rsidRPr="00642801">
        <w:rPr>
          <w:rFonts w:ascii="Open Sans" w:eastAsia="Times New Roman" w:hAnsi="Open Sans" w:cs="Open Sans"/>
          <w:b/>
          <w:color w:val="595959" w:themeColor="text1" w:themeTint="A6"/>
          <w:sz w:val="20"/>
          <w:szCs w:val="20"/>
        </w:rPr>
        <w:t>Independent verification and certification</w:t>
      </w:r>
      <w:r w:rsidRPr="00642801">
        <w:rPr>
          <w:rFonts w:ascii="Open Sans" w:eastAsia="Times New Roman" w:hAnsi="Open Sans" w:cs="Open Sans"/>
          <w:color w:val="595959" w:themeColor="text1" w:themeTint="A6"/>
          <w:sz w:val="20"/>
          <w:szCs w:val="20"/>
        </w:rPr>
        <w:t>, which ensures emissions data and eligibility claims are assessed by qualified third parties (Section 5.3)</w:t>
      </w:r>
      <w:r w:rsidR="002068A7">
        <w:rPr>
          <w:rFonts w:ascii="Open Sans" w:eastAsia="Times New Roman" w:hAnsi="Open Sans" w:cs="Open Sans"/>
          <w:color w:val="595959" w:themeColor="text1" w:themeTint="A6"/>
          <w:sz w:val="20"/>
          <w:szCs w:val="20"/>
        </w:rPr>
        <w:t>.</w:t>
      </w:r>
    </w:p>
    <w:p w14:paraId="5989C585" w14:textId="77777777" w:rsidR="00BC7767" w:rsidRPr="004A61C3" w:rsidRDefault="00BC7767" w:rsidP="00AE2C1A">
      <w:pPr>
        <w:pStyle w:val="ListParagraph"/>
        <w:ind w:left="360"/>
        <w:textAlignment w:val="baseline"/>
        <w:rPr>
          <w:rFonts w:ascii="Open Sans" w:eastAsia="Times New Roman" w:hAnsi="Open Sans" w:cs="Open Sans"/>
          <w:sz w:val="20"/>
          <w:szCs w:val="20"/>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6A31C366"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422A41F9"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5.1 Methodology Scope and Interoperability</w:t>
            </w:r>
          </w:p>
        </w:tc>
      </w:tr>
      <w:tr w:rsidR="0069241E" w:rsidRPr="00F9616D" w14:paraId="48AFAF4E"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220702" w14:textId="54EE5FD8" w:rsidR="0069241E" w:rsidRPr="00EF006C" w:rsidRDefault="0069241E">
            <w:pPr>
              <w:pStyle w:val="NormalWeb"/>
              <w:rPr>
                <w:rFonts w:ascii="Open Sans" w:hAnsi="Open Sans" w:cs="Open Sans"/>
                <w:color w:val="595959" w:themeColor="text1" w:themeTint="A6"/>
                <w:sz w:val="20"/>
                <w:szCs w:val="20"/>
              </w:rPr>
            </w:pPr>
            <w:r w:rsidRPr="00EF006C">
              <w:rPr>
                <w:rFonts w:ascii="Open Sans" w:hAnsi="Open Sans" w:cs="Open Sans"/>
                <w:color w:val="595959" w:themeColor="text1" w:themeTint="A6"/>
                <w:sz w:val="20"/>
                <w:szCs w:val="20"/>
              </w:rPr>
              <w:t xml:space="preserve">Emissions performance under the </w:t>
            </w:r>
            <w:r w:rsidR="002068A7">
              <w:rPr>
                <w:rFonts w:ascii="Open Sans" w:hAnsi="Open Sans" w:cs="Open Sans"/>
                <w:color w:val="595959" w:themeColor="text1" w:themeTint="A6"/>
                <w:sz w:val="20"/>
                <w:szCs w:val="20"/>
              </w:rPr>
              <w:t>s</w:t>
            </w:r>
            <w:r w:rsidRPr="00EF006C">
              <w:rPr>
                <w:rFonts w:ascii="Open Sans" w:hAnsi="Open Sans" w:cs="Open Sans"/>
                <w:color w:val="595959" w:themeColor="text1" w:themeTint="A6"/>
                <w:sz w:val="20"/>
                <w:szCs w:val="20"/>
              </w:rPr>
              <w:t>ystem shall be measured using a consistent and comparable methodology aligned with recognized steel-sector standards.</w:t>
            </w:r>
          </w:p>
          <w:p w14:paraId="3E73A13B" w14:textId="6DE44429" w:rsidR="0069241E" w:rsidRPr="00EF006C" w:rsidRDefault="0069241E" w:rsidP="008D7EBE">
            <w:pPr>
              <w:pStyle w:val="NormalWeb"/>
              <w:numPr>
                <w:ilvl w:val="0"/>
                <w:numId w:val="27"/>
              </w:numPr>
              <w:rPr>
                <w:rFonts w:ascii="Open Sans" w:hAnsi="Open Sans" w:cs="Open Sans"/>
                <w:color w:val="595959" w:themeColor="text1" w:themeTint="A6"/>
                <w:sz w:val="20"/>
                <w:szCs w:val="20"/>
              </w:rPr>
            </w:pPr>
            <w:r w:rsidRPr="00EF006C">
              <w:rPr>
                <w:rFonts w:ascii="Open Sans" w:hAnsi="Open Sans" w:cs="Open Sans"/>
                <w:color w:val="595959" w:themeColor="text1" w:themeTint="A6"/>
                <w:sz w:val="20"/>
                <w:szCs w:val="20"/>
              </w:rPr>
              <w:t xml:space="preserve">Measurement shall follow a cradle-to-gate boundary through crude steel (or </w:t>
            </w:r>
            <w:r w:rsidR="00EF006C">
              <w:rPr>
                <w:rFonts w:ascii="Open Sans" w:hAnsi="Open Sans" w:cs="Open Sans"/>
                <w:color w:val="595959" w:themeColor="text1" w:themeTint="A6"/>
                <w:sz w:val="20"/>
                <w:szCs w:val="20"/>
              </w:rPr>
              <w:t xml:space="preserve">to </w:t>
            </w:r>
            <w:r w:rsidR="002068A7">
              <w:rPr>
                <w:rFonts w:ascii="Open Sans" w:hAnsi="Open Sans" w:cs="Open Sans"/>
                <w:color w:val="595959" w:themeColor="text1" w:themeTint="A6"/>
                <w:sz w:val="20"/>
                <w:szCs w:val="20"/>
              </w:rPr>
              <w:t xml:space="preserve">the </w:t>
            </w:r>
            <w:r w:rsidRPr="00EF006C">
              <w:rPr>
                <w:rFonts w:ascii="Open Sans" w:hAnsi="Open Sans" w:cs="Open Sans"/>
                <w:color w:val="595959" w:themeColor="text1" w:themeTint="A6"/>
                <w:sz w:val="20"/>
                <w:szCs w:val="20"/>
              </w:rPr>
              <w:t>iron functional unit).</w:t>
            </w:r>
          </w:p>
          <w:p w14:paraId="74FD358A" w14:textId="77777777" w:rsidR="0069241E" w:rsidRPr="00EF006C" w:rsidRDefault="0069241E" w:rsidP="008D7EBE">
            <w:pPr>
              <w:pStyle w:val="NormalWeb"/>
              <w:numPr>
                <w:ilvl w:val="0"/>
                <w:numId w:val="27"/>
              </w:numPr>
              <w:rPr>
                <w:rFonts w:ascii="Open Sans" w:hAnsi="Open Sans" w:cs="Open Sans"/>
                <w:color w:val="595959" w:themeColor="text1" w:themeTint="A6"/>
                <w:sz w:val="20"/>
                <w:szCs w:val="20"/>
              </w:rPr>
            </w:pPr>
            <w:r w:rsidRPr="00EF006C">
              <w:rPr>
                <w:rFonts w:ascii="Open Sans" w:hAnsi="Open Sans" w:cs="Open Sans"/>
                <w:color w:val="595959" w:themeColor="text1" w:themeTint="A6"/>
                <w:sz w:val="20"/>
                <w:szCs w:val="20"/>
              </w:rPr>
              <w:t xml:space="preserve">Accounting rules shall align with </w:t>
            </w:r>
            <w:proofErr w:type="spellStart"/>
            <w:r w:rsidRPr="00EF006C">
              <w:rPr>
                <w:rFonts w:ascii="Open Sans" w:hAnsi="Open Sans" w:cs="Open Sans"/>
                <w:color w:val="595959" w:themeColor="text1" w:themeTint="A6"/>
                <w:sz w:val="20"/>
                <w:szCs w:val="20"/>
              </w:rPr>
              <w:t>ResponsibleSteel</w:t>
            </w:r>
            <w:proofErr w:type="spellEnd"/>
            <w:r w:rsidRPr="00EF006C">
              <w:rPr>
                <w:rFonts w:ascii="Open Sans" w:hAnsi="Open Sans" w:cs="Open Sans"/>
                <w:color w:val="595959" w:themeColor="text1" w:themeTint="A6"/>
                <w:sz w:val="20"/>
                <w:szCs w:val="20"/>
              </w:rPr>
              <w:t xml:space="preserve"> methodology, with defined adjustments where interoperable schemes are used.</w:t>
            </w:r>
          </w:p>
          <w:p w14:paraId="30FBD88F" w14:textId="40031779" w:rsidR="0069241E" w:rsidRPr="004A61C3" w:rsidRDefault="00801877" w:rsidP="008D7EBE">
            <w:pPr>
              <w:pStyle w:val="NormalWeb"/>
              <w:numPr>
                <w:ilvl w:val="0"/>
                <w:numId w:val="27"/>
              </w:numPr>
              <w:rPr>
                <w:rFonts w:ascii="Open Sans" w:hAnsi="Open Sans" w:cs="Open Sans"/>
              </w:rPr>
            </w:pPr>
            <w:r>
              <w:rPr>
                <w:rFonts w:ascii="Open Sans" w:hAnsi="Open Sans" w:cs="Open Sans"/>
                <w:color w:val="595959" w:themeColor="text1" w:themeTint="A6"/>
                <w:sz w:val="20"/>
                <w:szCs w:val="20"/>
              </w:rPr>
              <w:t>Key discrepancy areas such as system boundary,</w:t>
            </w:r>
            <w:r w:rsidR="0069241E" w:rsidRPr="00EF006C">
              <w:rPr>
                <w:rFonts w:ascii="Open Sans" w:hAnsi="Open Sans" w:cs="Open Sans"/>
                <w:color w:val="595959" w:themeColor="text1" w:themeTint="A6"/>
                <w:sz w:val="20"/>
                <w:szCs w:val="20"/>
              </w:rPr>
              <w:t xml:space="preserve"> </w:t>
            </w:r>
            <w:r>
              <w:rPr>
                <w:rFonts w:ascii="Open Sans" w:hAnsi="Open Sans" w:cs="Open Sans"/>
                <w:color w:val="595959" w:themeColor="text1" w:themeTint="A6"/>
                <w:sz w:val="20"/>
                <w:szCs w:val="20"/>
              </w:rPr>
              <w:t>default</w:t>
            </w:r>
            <w:r w:rsidR="0069241E" w:rsidRPr="00EF006C">
              <w:rPr>
                <w:rFonts w:ascii="Open Sans" w:hAnsi="Open Sans" w:cs="Open Sans"/>
                <w:color w:val="595959" w:themeColor="text1" w:themeTint="A6"/>
                <w:sz w:val="20"/>
                <w:szCs w:val="20"/>
              </w:rPr>
              <w:t xml:space="preserve"> emission factors, Scope 2 electricity, scrap accounting, methane inclusion, and crediting approaches shall be </w:t>
            </w:r>
            <w:r>
              <w:rPr>
                <w:rFonts w:ascii="Open Sans" w:hAnsi="Open Sans" w:cs="Open Sans"/>
                <w:color w:val="595959" w:themeColor="text1" w:themeTint="A6"/>
                <w:sz w:val="20"/>
                <w:szCs w:val="20"/>
              </w:rPr>
              <w:t>aligned</w:t>
            </w:r>
            <w:r w:rsidR="0069241E" w:rsidRPr="00EF006C">
              <w:rPr>
                <w:rFonts w:ascii="Open Sans" w:hAnsi="Open Sans" w:cs="Open Sans"/>
                <w:color w:val="595959" w:themeColor="text1" w:themeTint="A6"/>
                <w:sz w:val="20"/>
                <w:szCs w:val="20"/>
              </w:rPr>
              <w:t xml:space="preserve"> to ensure comparability across BCUs.</w:t>
            </w:r>
          </w:p>
        </w:tc>
      </w:tr>
      <w:tr w:rsidR="0069241E" w:rsidRPr="00F9616D" w14:paraId="455ADDF0"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E51682"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D9D4487" w14:textId="51C8C200"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Methodological Alignment</w:t>
            </w:r>
            <w:r w:rsidR="00F02D49">
              <w:rPr>
                <w:rFonts w:ascii="Open Sans" w:eastAsia="Helvetica" w:hAnsi="Open Sans" w:cs="Open Sans"/>
                <w:b/>
                <w:bCs/>
                <w:color w:val="595959" w:themeColor="text1" w:themeTint="A6"/>
                <w:sz w:val="20"/>
                <w:szCs w:val="20"/>
              </w:rPr>
              <w:t xml:space="preserve"> for Iron</w:t>
            </w:r>
            <w:r w:rsidRPr="004A61C3">
              <w:rPr>
                <w:rFonts w:ascii="Open Sans" w:eastAsia="Helvetica" w:hAnsi="Open Sans" w:cs="Open Sans"/>
                <w:b/>
                <w:color w:val="595959" w:themeColor="text1" w:themeTint="A6"/>
                <w:sz w:val="20"/>
                <w:szCs w:val="20"/>
              </w:rPr>
              <w:t xml:space="preserve">: </w:t>
            </w:r>
            <w:r w:rsidRPr="004A61C3">
              <w:rPr>
                <w:rFonts w:ascii="Open Sans" w:eastAsia="Helvetica" w:hAnsi="Open Sans" w:cs="Open Sans"/>
                <w:color w:val="595959" w:themeColor="text1" w:themeTint="A6"/>
                <w:sz w:val="20"/>
                <w:szCs w:val="20"/>
              </w:rPr>
              <w:t xml:space="preserve">What adjustments, if any, should be made for applying the </w:t>
            </w:r>
            <w:proofErr w:type="spellStart"/>
            <w:r w:rsidRPr="004A61C3">
              <w:rPr>
                <w:rFonts w:ascii="Open Sans" w:eastAsia="Helvetica" w:hAnsi="Open Sans" w:cs="Open Sans"/>
                <w:color w:val="595959" w:themeColor="text1" w:themeTint="A6"/>
                <w:sz w:val="20"/>
                <w:szCs w:val="20"/>
              </w:rPr>
              <w:t>ResponsibleSteel</w:t>
            </w:r>
            <w:proofErr w:type="spellEnd"/>
            <w:r w:rsidRPr="004A61C3">
              <w:rPr>
                <w:rFonts w:ascii="Open Sans" w:eastAsia="Helvetica" w:hAnsi="Open Sans" w:cs="Open Sans"/>
                <w:color w:val="595959" w:themeColor="text1" w:themeTint="A6"/>
                <w:sz w:val="20"/>
                <w:szCs w:val="20"/>
              </w:rPr>
              <w:t xml:space="preserve"> methodology to iron products, with respect to system boundaries and crediting process gas and waste heat (for integrated BF-BOF)?</w:t>
            </w:r>
          </w:p>
        </w:tc>
      </w:tr>
      <w:tr w:rsidR="0069241E" w:rsidRPr="00F9616D" w14:paraId="66EDC0FD"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A01136F"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6535B99"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441931B8"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A11A3E5"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1C956F1" w14:textId="145F9FFA"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Helvetica" w:hAnsi="Open Sans" w:cs="Open Sans"/>
                <w:b/>
                <w:color w:val="595959" w:themeColor="text1" w:themeTint="A6"/>
                <w:sz w:val="20"/>
                <w:szCs w:val="20"/>
              </w:rPr>
              <w:t xml:space="preserve">Interoperability: </w:t>
            </w:r>
            <w:r w:rsidRPr="004A61C3">
              <w:rPr>
                <w:rFonts w:ascii="Open Sans" w:eastAsia="Helvetica" w:hAnsi="Open Sans" w:cs="Open Sans"/>
                <w:color w:val="595959" w:themeColor="text1" w:themeTint="A6"/>
                <w:sz w:val="20"/>
                <w:szCs w:val="20"/>
              </w:rPr>
              <w:t xml:space="preserve">How can this framework </w:t>
            </w:r>
            <w:r w:rsidR="002762D1">
              <w:rPr>
                <w:rFonts w:ascii="Open Sans" w:eastAsia="Helvetica" w:hAnsi="Open Sans" w:cs="Open Sans"/>
                <w:color w:val="595959" w:themeColor="text1" w:themeTint="A6"/>
                <w:sz w:val="20"/>
                <w:szCs w:val="20"/>
              </w:rPr>
              <w:t>further</w:t>
            </w:r>
            <w:r w:rsidRPr="004A61C3">
              <w:rPr>
                <w:rFonts w:ascii="Open Sans" w:eastAsia="Helvetica" w:hAnsi="Open Sans" w:cs="Open Sans"/>
                <w:color w:val="595959" w:themeColor="text1" w:themeTint="A6"/>
                <w:sz w:val="20"/>
                <w:szCs w:val="20"/>
              </w:rPr>
              <w:t xml:space="preserve"> leverage industry-wide interoperability efforts across certification schemes?</w:t>
            </w:r>
          </w:p>
        </w:tc>
      </w:tr>
      <w:tr w:rsidR="0069241E" w:rsidRPr="00F9616D" w14:paraId="6C320C9E"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5953557"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82C07C0"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571AE842" w14:textId="77777777" w:rsidR="0069241E" w:rsidRDefault="0069241E"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p w14:paraId="2696F6AF" w14:textId="77777777" w:rsidR="00711CA4" w:rsidRDefault="00711CA4"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p w14:paraId="0B1E3109" w14:textId="77777777" w:rsidR="00711CA4" w:rsidRPr="004A61C3" w:rsidRDefault="00711CA4"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2BA5B772"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3E4D042B"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lastRenderedPageBreak/>
              <w:t>Section 5.2 Allocation of Environmental Attributes</w:t>
            </w:r>
          </w:p>
        </w:tc>
      </w:tr>
      <w:tr w:rsidR="0069241E" w:rsidRPr="00F9616D" w14:paraId="53DEE642"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F7B5161" w14:textId="57DFD382"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The </w:t>
            </w:r>
            <w:r w:rsidR="00AC0E25">
              <w:rPr>
                <w:rFonts w:ascii="Open Sans" w:eastAsia="Calibri" w:hAnsi="Open Sans" w:cs="Open Sans"/>
                <w:color w:val="595959" w:themeColor="text1" w:themeTint="A6"/>
                <w:sz w:val="20"/>
                <w:szCs w:val="20"/>
              </w:rPr>
              <w:t>s</w:t>
            </w:r>
            <w:r w:rsidRPr="004A61C3">
              <w:rPr>
                <w:rFonts w:ascii="Open Sans" w:eastAsia="Calibri" w:hAnsi="Open Sans" w:cs="Open Sans"/>
                <w:color w:val="595959" w:themeColor="text1" w:themeTint="A6"/>
                <w:sz w:val="20"/>
                <w:szCs w:val="20"/>
              </w:rPr>
              <w:t xml:space="preserve">ystem’s allocation rules define when and how product-level emissions performance may reflect verified low-emissions inputs without </w:t>
            </w:r>
            <w:r w:rsidR="002762D1">
              <w:rPr>
                <w:rFonts w:ascii="Open Sans" w:eastAsia="Calibri" w:hAnsi="Open Sans" w:cs="Open Sans"/>
                <w:color w:val="595959" w:themeColor="text1" w:themeTint="A6"/>
                <w:sz w:val="20"/>
                <w:szCs w:val="20"/>
              </w:rPr>
              <w:t>risking</w:t>
            </w:r>
            <w:r w:rsidRPr="004A61C3">
              <w:rPr>
                <w:rFonts w:ascii="Open Sans" w:eastAsia="Calibri" w:hAnsi="Open Sans" w:cs="Open Sans"/>
                <w:color w:val="595959" w:themeColor="text1" w:themeTint="A6"/>
                <w:sz w:val="20"/>
                <w:szCs w:val="20"/>
              </w:rPr>
              <w:t xml:space="preserve"> over-allocation or double counting.</w:t>
            </w:r>
          </w:p>
          <w:p w14:paraId="08EDBC3A" w14:textId="77777777" w:rsidR="0069241E" w:rsidRPr="004A61C3" w:rsidRDefault="0069241E" w:rsidP="008D7EBE">
            <w:pPr>
              <w:pStyle w:val="ListParagraph"/>
              <w:numPr>
                <w:ilvl w:val="0"/>
                <w:numId w:val="26"/>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Emissions shall not be reallocated across sites or aggregated across facilities for the purpose of meeting eligibility thresholds.</w:t>
            </w:r>
          </w:p>
          <w:p w14:paraId="057487E3" w14:textId="77777777" w:rsidR="00B16594" w:rsidRPr="00B16594" w:rsidRDefault="00B16594" w:rsidP="00B16594">
            <w:pPr>
              <w:pStyle w:val="ListParagraph"/>
              <w:numPr>
                <w:ilvl w:val="0"/>
                <w:numId w:val="26"/>
              </w:numPr>
              <w:rPr>
                <w:rFonts w:ascii="Open Sans" w:eastAsia="Calibri" w:hAnsi="Open Sans" w:cs="Open Sans"/>
                <w:color w:val="595959" w:themeColor="text1" w:themeTint="A6"/>
                <w:sz w:val="20"/>
                <w:szCs w:val="20"/>
              </w:rPr>
            </w:pPr>
            <w:r w:rsidRPr="00B16594">
              <w:rPr>
                <w:rFonts w:ascii="Open Sans" w:eastAsia="Calibri" w:hAnsi="Open Sans" w:cs="Open Sans"/>
                <w:color w:val="595959" w:themeColor="text1" w:themeTint="A6"/>
                <w:sz w:val="20"/>
                <w:szCs w:val="20"/>
              </w:rPr>
              <w:t>When green iron is blended with other metallic inputs, steel EACs may be generated by allocating green iron attributes in proportion to the physical iron content used in production, maintaining the iron-to-scrap ratio in the final steel product.</w:t>
            </w:r>
          </w:p>
          <w:p w14:paraId="628DC08B" w14:textId="6F908B95" w:rsidR="00B16594" w:rsidRPr="00B16594" w:rsidRDefault="00B16594" w:rsidP="00B16594">
            <w:pPr>
              <w:pStyle w:val="ListParagraph"/>
              <w:numPr>
                <w:ilvl w:val="1"/>
                <w:numId w:val="26"/>
              </w:numPr>
              <w:rPr>
                <w:rFonts w:ascii="Open Sans" w:eastAsia="Calibri" w:hAnsi="Open Sans" w:cs="Open Sans"/>
                <w:color w:val="595959" w:themeColor="text1" w:themeTint="A6"/>
                <w:sz w:val="20"/>
                <w:szCs w:val="20"/>
              </w:rPr>
            </w:pPr>
            <w:r w:rsidRPr="00B16594">
              <w:rPr>
                <w:rFonts w:ascii="Open Sans" w:eastAsia="Calibri" w:hAnsi="Open Sans" w:cs="Open Sans"/>
                <w:color w:val="595959" w:themeColor="text1" w:themeTint="A6"/>
                <w:sz w:val="20"/>
                <w:szCs w:val="20"/>
              </w:rPr>
              <w:t xml:space="preserve">Green iron inputs eligible for allocation shall meet </w:t>
            </w:r>
            <w:r w:rsidR="001D6F9E">
              <w:rPr>
                <w:rFonts w:ascii="Open Sans" w:eastAsia="Calibri" w:hAnsi="Open Sans" w:cs="Open Sans"/>
                <w:color w:val="595959" w:themeColor="text1" w:themeTint="A6"/>
                <w:sz w:val="20"/>
                <w:szCs w:val="20"/>
              </w:rPr>
              <w:t xml:space="preserve">the </w:t>
            </w:r>
            <w:r w:rsidRPr="00B16594">
              <w:rPr>
                <w:rFonts w:ascii="Open Sans" w:eastAsia="Calibri" w:hAnsi="Open Sans" w:cs="Open Sans"/>
                <w:color w:val="595959" w:themeColor="text1" w:themeTint="A6"/>
                <w:sz w:val="20"/>
                <w:szCs w:val="20"/>
              </w:rPr>
              <w:t xml:space="preserve">Responsible Steel Decarbonization Progress Level 3 (DPL3)-equivalent </w:t>
            </w:r>
            <w:r w:rsidRPr="00A33073">
              <w:rPr>
                <w:rFonts w:ascii="Open Sans" w:eastAsia="Calibri" w:hAnsi="Open Sans" w:cs="Open Sans"/>
                <w:color w:val="595959" w:themeColor="text1" w:themeTint="A6"/>
                <w:sz w:val="20"/>
                <w:szCs w:val="20"/>
              </w:rPr>
              <w:t xml:space="preserve">threshold of </w:t>
            </w:r>
            <w:r w:rsidR="00A33073" w:rsidRPr="00A33073">
              <w:rPr>
                <w:rFonts w:ascii="Symbol" w:eastAsia="Symbol" w:hAnsi="Symbol" w:cs="Symbol"/>
                <w:color w:val="595959" w:themeColor="text1" w:themeTint="A6"/>
              </w:rPr>
              <w:t>£</w:t>
            </w:r>
            <w:r w:rsidRPr="00A33073">
              <w:rPr>
                <w:rFonts w:ascii="Open Sans" w:eastAsia="Calibri" w:hAnsi="Open Sans" w:cs="Open Sans"/>
                <w:color w:val="595959" w:themeColor="text1" w:themeTint="A6"/>
                <w:sz w:val="20"/>
                <w:szCs w:val="20"/>
              </w:rPr>
              <w:t xml:space="preserve">1 t </w:t>
            </w:r>
            <w:r w:rsidRPr="00B16594">
              <w:rPr>
                <w:rFonts w:ascii="Open Sans" w:eastAsia="Calibri" w:hAnsi="Open Sans" w:cs="Open Sans"/>
                <w:color w:val="595959" w:themeColor="text1" w:themeTint="A6"/>
                <w:sz w:val="20"/>
                <w:szCs w:val="20"/>
              </w:rPr>
              <w:t>CO</w:t>
            </w:r>
            <w:r w:rsidRPr="00562436">
              <w:rPr>
                <w:rFonts w:ascii="Open Sans" w:eastAsia="Calibri" w:hAnsi="Open Sans" w:cs="Open Sans"/>
                <w:color w:val="595959" w:themeColor="text1" w:themeTint="A6"/>
                <w:sz w:val="20"/>
                <w:szCs w:val="20"/>
                <w:vertAlign w:val="subscript"/>
              </w:rPr>
              <w:t>2</w:t>
            </w:r>
            <w:r w:rsidRPr="00B16594">
              <w:rPr>
                <w:rFonts w:ascii="Open Sans" w:eastAsia="Calibri" w:hAnsi="Open Sans" w:cs="Open Sans"/>
                <w:color w:val="595959" w:themeColor="text1" w:themeTint="A6"/>
                <w:sz w:val="20"/>
                <w:szCs w:val="20"/>
              </w:rPr>
              <w:t xml:space="preserve">e per ton of iron. </w:t>
            </w:r>
          </w:p>
          <w:p w14:paraId="6734138D" w14:textId="77777777" w:rsidR="0069241E" w:rsidRPr="004A61C3" w:rsidRDefault="0069241E" w:rsidP="008D7EBE">
            <w:pPr>
              <w:pStyle w:val="ListParagraph"/>
              <w:numPr>
                <w:ilvl w:val="0"/>
                <w:numId w:val="26"/>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Allocation methodologies shall maintain consistency with site-level accounting and be subject to independent verification.</w:t>
            </w:r>
          </w:p>
        </w:tc>
      </w:tr>
      <w:tr w:rsidR="0069241E" w:rsidRPr="00F9616D" w14:paraId="6605B144"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9344A3E"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6110550" w14:textId="07E9ECF3"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Green Iron Allocation:</w:t>
            </w:r>
            <w:r w:rsidRPr="004A61C3">
              <w:rPr>
                <w:rFonts w:ascii="Open Sans" w:eastAsia="Helvetica" w:hAnsi="Open Sans" w:cs="Open Sans"/>
                <w:color w:val="595959" w:themeColor="text1" w:themeTint="A6"/>
                <w:sz w:val="20"/>
                <w:szCs w:val="20"/>
              </w:rPr>
              <w:t xml:space="preserve"> What are your thoughts on allowing proportional allocation of green iron inputs</w:t>
            </w:r>
            <w:r w:rsidR="00A33073">
              <w:rPr>
                <w:rFonts w:ascii="Open Sans" w:eastAsia="Helvetica" w:hAnsi="Open Sans" w:cs="Open Sans"/>
                <w:color w:val="595959" w:themeColor="text1" w:themeTint="A6"/>
                <w:sz w:val="20"/>
                <w:szCs w:val="20"/>
              </w:rPr>
              <w:t xml:space="preserve">? Would this </w:t>
            </w:r>
            <w:r w:rsidR="0075059A">
              <w:rPr>
                <w:rFonts w:ascii="Open Sans" w:eastAsia="Helvetica" w:hAnsi="Open Sans" w:cs="Open Sans"/>
                <w:color w:val="595959" w:themeColor="text1" w:themeTint="A6"/>
                <w:sz w:val="20"/>
                <w:szCs w:val="20"/>
              </w:rPr>
              <w:t>design</w:t>
            </w:r>
            <w:r w:rsidR="00A33073">
              <w:rPr>
                <w:rFonts w:ascii="Open Sans" w:eastAsia="Helvetica" w:hAnsi="Open Sans" w:cs="Open Sans"/>
                <w:color w:val="595959" w:themeColor="text1" w:themeTint="A6"/>
                <w:sz w:val="20"/>
                <w:szCs w:val="20"/>
              </w:rPr>
              <w:t xml:space="preserve"> </w:t>
            </w:r>
            <w:r w:rsidR="0075059A">
              <w:rPr>
                <w:rFonts w:ascii="Open Sans" w:eastAsia="Helvetica" w:hAnsi="Open Sans" w:cs="Open Sans"/>
                <w:color w:val="595959" w:themeColor="text1" w:themeTint="A6"/>
                <w:sz w:val="20"/>
                <w:szCs w:val="20"/>
              </w:rPr>
              <w:t>effectively</w:t>
            </w:r>
            <w:r w:rsidRPr="004A61C3">
              <w:rPr>
                <w:rFonts w:ascii="Open Sans" w:eastAsia="Helvetica" w:hAnsi="Open Sans" w:cs="Open Sans"/>
                <w:color w:val="595959" w:themeColor="text1" w:themeTint="A6"/>
                <w:sz w:val="20"/>
                <w:szCs w:val="20"/>
              </w:rPr>
              <w:t xml:space="preserve"> incentivize upstream ironmaking decarbonization? </w:t>
            </w:r>
            <w:r w:rsidR="00A33073">
              <w:rPr>
                <w:rFonts w:ascii="Open Sans" w:eastAsia="Helvetica" w:hAnsi="Open Sans" w:cs="Open Sans"/>
                <w:color w:val="595959" w:themeColor="text1" w:themeTint="A6"/>
                <w:sz w:val="20"/>
                <w:szCs w:val="20"/>
              </w:rPr>
              <w:t>How could we further improve credibility of this allocation approach?</w:t>
            </w:r>
          </w:p>
        </w:tc>
      </w:tr>
      <w:tr w:rsidR="0069241E" w:rsidRPr="00F9616D" w14:paraId="131E2476"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36E6A6E"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DF5A094"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22F0F11D"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6697C6A"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D6B52B" w14:textId="38A8BF75" w:rsidR="0069241E" w:rsidRPr="004A61C3" w:rsidRDefault="0069241E">
            <w:pPr>
              <w:spacing w:before="240" w:after="240"/>
              <w:rPr>
                <w:rFonts w:ascii="Open Sans" w:eastAsia="Times New Roman" w:hAnsi="Open Sans" w:cs="Open Sans"/>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Double</w:t>
            </w:r>
            <w:r w:rsidR="001577DB">
              <w:rPr>
                <w:rFonts w:ascii="Open Sans" w:eastAsia="Times New Roman" w:hAnsi="Open Sans" w:cs="Open Sans"/>
                <w:b/>
                <w:color w:val="595959" w:themeColor="text1" w:themeTint="A6"/>
                <w:sz w:val="20"/>
                <w:szCs w:val="20"/>
                <w:lang w:val="en-GB"/>
              </w:rPr>
              <w:t>-</w:t>
            </w:r>
            <w:r w:rsidRPr="004A61C3">
              <w:rPr>
                <w:rFonts w:ascii="Open Sans" w:eastAsia="Times New Roman" w:hAnsi="Open Sans" w:cs="Open Sans"/>
                <w:b/>
                <w:color w:val="595959" w:themeColor="text1" w:themeTint="A6"/>
                <w:sz w:val="20"/>
                <w:szCs w:val="20"/>
                <w:lang w:val="en-GB"/>
              </w:rPr>
              <w:t xml:space="preserve">Counting Safeguards: </w:t>
            </w:r>
            <w:r w:rsidRPr="00A83E04">
              <w:rPr>
                <w:rFonts w:ascii="Open Sans" w:eastAsia="Helvetica" w:hAnsi="Open Sans" w:cs="Open Sans"/>
                <w:color w:val="595959" w:themeColor="text1" w:themeTint="A6"/>
                <w:sz w:val="20"/>
                <w:szCs w:val="20"/>
              </w:rPr>
              <w:t xml:space="preserve">What additional </w:t>
            </w:r>
            <w:r w:rsidR="00A83E04" w:rsidRPr="00A83E04">
              <w:rPr>
                <w:rFonts w:ascii="Open Sans" w:eastAsia="Helvetica" w:hAnsi="Open Sans" w:cs="Open Sans"/>
                <w:color w:val="595959" w:themeColor="text1" w:themeTint="A6"/>
                <w:sz w:val="20"/>
                <w:szCs w:val="20"/>
              </w:rPr>
              <w:t>safeguards</w:t>
            </w:r>
            <w:r w:rsidRPr="00A83E04">
              <w:rPr>
                <w:rFonts w:ascii="Open Sans" w:eastAsia="Helvetica" w:hAnsi="Open Sans" w:cs="Open Sans"/>
                <w:color w:val="595959" w:themeColor="text1" w:themeTint="A6"/>
                <w:sz w:val="20"/>
                <w:szCs w:val="20"/>
              </w:rPr>
              <w:t xml:space="preserve"> should be </w:t>
            </w:r>
            <w:r w:rsidR="00A83E04" w:rsidRPr="00A83E04">
              <w:rPr>
                <w:rFonts w:ascii="Open Sans" w:eastAsia="Helvetica" w:hAnsi="Open Sans" w:cs="Open Sans"/>
                <w:color w:val="595959" w:themeColor="text1" w:themeTint="A6"/>
                <w:sz w:val="20"/>
                <w:szCs w:val="20"/>
              </w:rPr>
              <w:t>implemented</w:t>
            </w:r>
            <w:r w:rsidRPr="00A83E04">
              <w:rPr>
                <w:rFonts w:ascii="Open Sans" w:eastAsia="Helvetica" w:hAnsi="Open Sans" w:cs="Open Sans"/>
                <w:color w:val="595959" w:themeColor="text1" w:themeTint="A6"/>
                <w:sz w:val="20"/>
                <w:szCs w:val="20"/>
              </w:rPr>
              <w:t xml:space="preserve"> to prevent green iron attributes from being </w:t>
            </w:r>
            <w:r w:rsidR="00A83E04" w:rsidRPr="00A83E04">
              <w:rPr>
                <w:rFonts w:ascii="Open Sans" w:eastAsia="Helvetica" w:hAnsi="Open Sans" w:cs="Open Sans"/>
                <w:color w:val="595959" w:themeColor="text1" w:themeTint="A6"/>
                <w:sz w:val="20"/>
                <w:szCs w:val="20"/>
              </w:rPr>
              <w:t>issued</w:t>
            </w:r>
            <w:r w:rsidRPr="00A83E04">
              <w:rPr>
                <w:rFonts w:ascii="Open Sans" w:eastAsia="Helvetica" w:hAnsi="Open Sans" w:cs="Open Sans"/>
                <w:color w:val="595959" w:themeColor="text1" w:themeTint="A6"/>
                <w:sz w:val="20"/>
                <w:szCs w:val="20"/>
              </w:rPr>
              <w:t xml:space="preserve"> or claimed more than once?</w:t>
            </w:r>
            <w:r w:rsidR="00A83E04" w:rsidRPr="00A83E04">
              <w:rPr>
                <w:rFonts w:ascii="Open Sans" w:eastAsia="Helvetica" w:hAnsi="Open Sans" w:cs="Open Sans"/>
                <w:color w:val="595959" w:themeColor="text1" w:themeTint="A6"/>
                <w:sz w:val="20"/>
                <w:szCs w:val="20"/>
              </w:rPr>
              <w:t xml:space="preserve"> For example, should the </w:t>
            </w:r>
            <w:r w:rsidR="001577DB">
              <w:rPr>
                <w:rFonts w:ascii="Open Sans" w:eastAsia="Helvetica" w:hAnsi="Open Sans" w:cs="Open Sans"/>
                <w:color w:val="595959" w:themeColor="text1" w:themeTint="A6"/>
                <w:sz w:val="20"/>
                <w:szCs w:val="20"/>
              </w:rPr>
              <w:t>s</w:t>
            </w:r>
            <w:r w:rsidR="00A83E04" w:rsidRPr="00A83E04">
              <w:rPr>
                <w:rFonts w:ascii="Open Sans" w:eastAsia="Helvetica" w:hAnsi="Open Sans" w:cs="Open Sans"/>
                <w:color w:val="595959" w:themeColor="text1" w:themeTint="A6"/>
                <w:sz w:val="20"/>
                <w:szCs w:val="20"/>
              </w:rPr>
              <w:t>ystem require site-level tracking or restrict eligibility for iron suppliers already issuing iron EACs?</w:t>
            </w:r>
          </w:p>
        </w:tc>
      </w:tr>
      <w:tr w:rsidR="0069241E" w:rsidRPr="00F9616D" w14:paraId="70124FE4"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05EABBF"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AEF796F"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74352764"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98FE35B" w14:textId="77777777"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011C165" w14:textId="77777777" w:rsidR="0069241E" w:rsidRPr="004A61C3" w:rsidRDefault="0069241E">
            <w:pPr>
              <w:spacing w:before="240" w:after="240"/>
              <w:rPr>
                <w:rFonts w:ascii="Open Sans" w:eastAsia="Times New Roman" w:hAnsi="Open Sans" w:cs="Open Sans"/>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Additional Green Attributes: </w:t>
            </w:r>
            <w:r w:rsidRPr="004A61C3">
              <w:rPr>
                <w:rFonts w:ascii="Open Sans" w:eastAsia="Times New Roman" w:hAnsi="Open Sans" w:cs="Open Sans"/>
                <w:color w:val="595959" w:themeColor="text1" w:themeTint="A6"/>
                <w:sz w:val="20"/>
                <w:szCs w:val="20"/>
                <w:lang w:val="en-GB"/>
              </w:rPr>
              <w:t>What additional green attributes, if any, should be eligible for allocation (e.g., green hydrogen when mixed with grey or blue hydrogen in DRI processes)?</w:t>
            </w:r>
          </w:p>
        </w:tc>
      </w:tr>
      <w:tr w:rsidR="0069241E" w:rsidRPr="00F9616D" w14:paraId="6469D0A3" w14:textId="77777777" w:rsidTr="005842DD">
        <w:trPr>
          <w:trHeight w:val="720"/>
        </w:trPr>
        <w:tc>
          <w:tcPr>
            <w:tcW w:w="428" w:type="dxa"/>
            <w:vMerge/>
            <w:tcBorders>
              <w:left w:val="single" w:sz="4" w:space="0" w:color="595959" w:themeColor="text1" w:themeTint="A6"/>
              <w:bottom w:val="single" w:sz="4" w:space="0" w:color="auto"/>
              <w:right w:val="single" w:sz="4" w:space="0" w:color="595959" w:themeColor="text1" w:themeTint="A6"/>
            </w:tcBorders>
            <w:vAlign w:val="center"/>
          </w:tcPr>
          <w:p w14:paraId="36351027"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vAlign w:val="center"/>
          </w:tcPr>
          <w:p w14:paraId="2CB98681"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4A75EBE2" w14:textId="77777777" w:rsidR="0069241E" w:rsidRPr="004A61C3" w:rsidRDefault="0069241E"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4608BA78"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28E721CF"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lastRenderedPageBreak/>
              <w:t>Section 5.3 Emissions Verification and Certification Requirements</w:t>
            </w:r>
          </w:p>
        </w:tc>
      </w:tr>
      <w:tr w:rsidR="0069241E" w:rsidRPr="00F9616D" w14:paraId="1AFDEC2E"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7E6773E"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BCU issuance requires independent assurance that emissions performance and eligibility criteria are met.</w:t>
            </w:r>
          </w:p>
          <w:p w14:paraId="3F7963B5" w14:textId="77777777" w:rsidR="0069241E" w:rsidRPr="004A61C3" w:rsidRDefault="0069241E" w:rsidP="008D7EBE">
            <w:pPr>
              <w:pStyle w:val="ListParagraph"/>
              <w:numPr>
                <w:ilvl w:val="0"/>
                <w:numId w:val="3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Emissions data and eligibility compliance shall be verified by qualified third-party auditors.</w:t>
            </w:r>
          </w:p>
          <w:p w14:paraId="2EF2FCF5" w14:textId="3CC5ABCB" w:rsidR="0069241E" w:rsidRPr="004A61C3" w:rsidRDefault="0069241E" w:rsidP="008D7EBE">
            <w:pPr>
              <w:pStyle w:val="ListParagraph"/>
              <w:numPr>
                <w:ilvl w:val="0"/>
                <w:numId w:val="3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Sites shall follow a defined certification pathway</w:t>
            </w:r>
            <w:r w:rsidR="00D27903">
              <w:rPr>
                <w:rFonts w:ascii="Open Sans" w:eastAsia="Calibri" w:hAnsi="Open Sans" w:cs="Open Sans"/>
                <w:color w:val="595959" w:themeColor="text1" w:themeTint="A6"/>
                <w:sz w:val="20"/>
                <w:szCs w:val="20"/>
              </w:rPr>
              <w:t xml:space="preserve"> to seek full site certification by</w:t>
            </w:r>
            <w:r w:rsidRPr="004A61C3">
              <w:rPr>
                <w:rFonts w:ascii="Open Sans" w:eastAsia="Calibri" w:hAnsi="Open Sans" w:cs="Open Sans"/>
                <w:color w:val="595959" w:themeColor="text1" w:themeTint="A6"/>
                <w:sz w:val="20"/>
                <w:szCs w:val="20"/>
              </w:rPr>
              <w:t xml:space="preserve"> </w:t>
            </w:r>
            <w:proofErr w:type="spellStart"/>
            <w:r w:rsidRPr="004A61C3">
              <w:rPr>
                <w:rFonts w:ascii="Open Sans" w:eastAsia="Calibri" w:hAnsi="Open Sans" w:cs="Open Sans"/>
                <w:color w:val="595959" w:themeColor="text1" w:themeTint="A6"/>
                <w:sz w:val="20"/>
                <w:szCs w:val="20"/>
              </w:rPr>
              <w:t>ResponsibleSteel</w:t>
            </w:r>
            <w:proofErr w:type="spellEnd"/>
            <w:r w:rsidRPr="004A61C3">
              <w:rPr>
                <w:rFonts w:ascii="Open Sans" w:eastAsia="Calibri" w:hAnsi="Open Sans" w:cs="Open Sans"/>
                <w:color w:val="595959" w:themeColor="text1" w:themeTint="A6"/>
                <w:sz w:val="20"/>
                <w:szCs w:val="20"/>
              </w:rPr>
              <w:t xml:space="preserve"> or interoperable schemes.</w:t>
            </w:r>
          </w:p>
          <w:p w14:paraId="3ADF138D" w14:textId="77777777" w:rsidR="0069241E" w:rsidRPr="004A61C3" w:rsidRDefault="0069241E" w:rsidP="008D7EBE">
            <w:pPr>
              <w:pStyle w:val="ListParagraph"/>
              <w:numPr>
                <w:ilvl w:val="0"/>
                <w:numId w:val="3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Audit timing shall precede issuance and comply with defined ex-ante and ex-post verification safeguards.</w:t>
            </w:r>
          </w:p>
        </w:tc>
      </w:tr>
      <w:tr w:rsidR="0069241E" w:rsidRPr="00F9616D" w14:paraId="062D714A"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A5A6007"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822B2AE" w14:textId="065C5EBF"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Full Site Certification Requirement:</w:t>
            </w:r>
            <w:r w:rsidRPr="004A61C3">
              <w:rPr>
                <w:rFonts w:ascii="Open Sans" w:eastAsia="Helvetica" w:hAnsi="Open Sans" w:cs="Open Sans"/>
                <w:color w:val="595959" w:themeColor="text1" w:themeTint="A6"/>
                <w:sz w:val="20"/>
                <w:szCs w:val="20"/>
              </w:rPr>
              <w:t xml:space="preserve"> Do you agree with the current requirement for full site certification </w:t>
            </w:r>
            <w:r w:rsidR="00FC070C">
              <w:rPr>
                <w:rFonts w:ascii="Open Sans" w:eastAsia="Helvetica" w:hAnsi="Open Sans" w:cs="Open Sans"/>
                <w:color w:val="595959" w:themeColor="text1" w:themeTint="A6"/>
                <w:sz w:val="20"/>
                <w:szCs w:val="20"/>
              </w:rPr>
              <w:t xml:space="preserve">for sites with production data over </w:t>
            </w:r>
            <w:r w:rsidR="005024BB">
              <w:rPr>
                <w:rFonts w:ascii="Open Sans" w:eastAsia="Helvetica" w:hAnsi="Open Sans" w:cs="Open Sans"/>
                <w:color w:val="595959" w:themeColor="text1" w:themeTint="A6"/>
                <w:sz w:val="20"/>
                <w:szCs w:val="20"/>
              </w:rPr>
              <w:t xml:space="preserve">three </w:t>
            </w:r>
            <w:r w:rsidR="00FC070C">
              <w:rPr>
                <w:rFonts w:ascii="Open Sans" w:eastAsia="Helvetica" w:hAnsi="Open Sans" w:cs="Open Sans"/>
                <w:color w:val="595959" w:themeColor="text1" w:themeTint="A6"/>
                <w:sz w:val="20"/>
                <w:szCs w:val="20"/>
              </w:rPr>
              <w:t xml:space="preserve">years </w:t>
            </w:r>
            <w:r w:rsidRPr="004A61C3">
              <w:rPr>
                <w:rFonts w:ascii="Open Sans" w:eastAsia="Helvetica" w:hAnsi="Open Sans" w:cs="Open Sans"/>
                <w:color w:val="595959" w:themeColor="text1" w:themeTint="A6"/>
                <w:sz w:val="20"/>
                <w:szCs w:val="20"/>
              </w:rPr>
              <w:t>(</w:t>
            </w:r>
            <w:r w:rsidR="00FC070C">
              <w:rPr>
                <w:rFonts w:ascii="Open Sans" w:eastAsia="Helvetica" w:hAnsi="Open Sans" w:cs="Open Sans"/>
                <w:color w:val="595959" w:themeColor="text1" w:themeTint="A6"/>
                <w:sz w:val="20"/>
                <w:szCs w:val="20"/>
              </w:rPr>
              <w:t xml:space="preserve">e.g., </w:t>
            </w:r>
            <w:proofErr w:type="spellStart"/>
            <w:r w:rsidR="00FC070C">
              <w:rPr>
                <w:rFonts w:ascii="Open Sans" w:eastAsia="Helvetica" w:hAnsi="Open Sans" w:cs="Open Sans"/>
                <w:color w:val="595959" w:themeColor="text1" w:themeTint="A6"/>
                <w:sz w:val="20"/>
                <w:szCs w:val="20"/>
              </w:rPr>
              <w:t>ResponsibleSteel</w:t>
            </w:r>
            <w:proofErr w:type="spellEnd"/>
            <w:r w:rsidR="00FC070C">
              <w:rPr>
                <w:rFonts w:ascii="Open Sans" w:eastAsia="Helvetica" w:hAnsi="Open Sans" w:cs="Open Sans"/>
                <w:color w:val="595959" w:themeColor="text1" w:themeTint="A6"/>
                <w:sz w:val="20"/>
                <w:szCs w:val="20"/>
              </w:rPr>
              <w:t xml:space="preserve"> Core site certification</w:t>
            </w:r>
            <w:r w:rsidR="00D27903">
              <w:rPr>
                <w:rFonts w:ascii="Open Sans" w:eastAsia="Helvetica" w:hAnsi="Open Sans" w:cs="Open Sans"/>
                <w:color w:val="595959" w:themeColor="text1" w:themeTint="A6"/>
                <w:sz w:val="20"/>
                <w:szCs w:val="20"/>
              </w:rPr>
              <w:t xml:space="preserve"> or equivalent</w:t>
            </w:r>
            <w:r w:rsidRPr="004A61C3">
              <w:rPr>
                <w:rFonts w:ascii="Open Sans" w:eastAsia="Helvetica" w:hAnsi="Open Sans" w:cs="Open Sans"/>
                <w:color w:val="595959" w:themeColor="text1" w:themeTint="A6"/>
                <w:sz w:val="20"/>
                <w:szCs w:val="20"/>
              </w:rPr>
              <w:t xml:space="preserve">)? </w:t>
            </w:r>
            <w:r w:rsidR="00A064AD">
              <w:rPr>
                <w:rFonts w:ascii="Open Sans" w:eastAsia="Helvetica" w:hAnsi="Open Sans" w:cs="Open Sans"/>
                <w:color w:val="595959" w:themeColor="text1" w:themeTint="A6"/>
                <w:sz w:val="20"/>
                <w:szCs w:val="20"/>
              </w:rPr>
              <w:t xml:space="preserve">Are there any practical challenges </w:t>
            </w:r>
            <w:r w:rsidR="004B5C07">
              <w:rPr>
                <w:rFonts w:ascii="Open Sans" w:eastAsia="Helvetica" w:hAnsi="Open Sans" w:cs="Open Sans"/>
                <w:color w:val="595959" w:themeColor="text1" w:themeTint="A6"/>
                <w:sz w:val="20"/>
                <w:szCs w:val="20"/>
              </w:rPr>
              <w:t>anticipated with this?</w:t>
            </w:r>
          </w:p>
        </w:tc>
      </w:tr>
      <w:tr w:rsidR="0069241E" w:rsidRPr="00F9616D" w14:paraId="308C70A9" w14:textId="77777777" w:rsidTr="7CCC84B7">
        <w:trPr>
          <w:trHeight w:val="720"/>
        </w:trPr>
        <w:tc>
          <w:tcPr>
            <w:tcW w:w="428" w:type="dxa"/>
            <w:vMerge/>
            <w:vAlign w:val="center"/>
          </w:tcPr>
          <w:p w14:paraId="185FE094"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1374630"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55E80AAB"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6CAD957"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009F31" w14:textId="77777777" w:rsidR="0069241E" w:rsidRPr="004A61C3" w:rsidRDefault="0069241E">
            <w:pPr>
              <w:spacing w:before="240" w:after="240"/>
              <w:rPr>
                <w:rFonts w:ascii="Open Sans" w:eastAsia="Times New Roman" w:hAnsi="Open Sans" w:cs="Open Sans"/>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Staged Certification Pathway: </w:t>
            </w:r>
            <w:r w:rsidRPr="004A61C3">
              <w:rPr>
                <w:rFonts w:ascii="Open Sans" w:eastAsia="Times New Roman" w:hAnsi="Open Sans" w:cs="Open Sans"/>
                <w:color w:val="595959" w:themeColor="text1" w:themeTint="A6"/>
                <w:sz w:val="20"/>
                <w:szCs w:val="20"/>
                <w:lang w:val="en-GB"/>
              </w:rPr>
              <w:t>Does the proposed staged certification pathway appropriately balance integrity and practical implementation across different production realities? If not, what adjustments are needed?</w:t>
            </w:r>
          </w:p>
        </w:tc>
      </w:tr>
      <w:tr w:rsidR="0069241E" w:rsidRPr="00F9616D" w14:paraId="45EBA84F" w14:textId="77777777" w:rsidTr="004B5C07">
        <w:trPr>
          <w:trHeight w:val="720"/>
        </w:trPr>
        <w:tc>
          <w:tcPr>
            <w:tcW w:w="428" w:type="dxa"/>
            <w:vMerge/>
            <w:tcBorders>
              <w:bottom w:val="single" w:sz="4" w:space="0" w:color="auto"/>
            </w:tcBorders>
            <w:vAlign w:val="center"/>
          </w:tcPr>
          <w:p w14:paraId="41EE234E"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7CD315D"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3C127E2C" w14:paraId="4E76F04A" w14:textId="77777777" w:rsidTr="004B5C07">
        <w:trPr>
          <w:trHeight w:val="720"/>
        </w:trPr>
        <w:tc>
          <w:tcPr>
            <w:tcW w:w="428" w:type="dxa"/>
            <w:tcBorders>
              <w:top w:val="single" w:sz="4" w:space="0" w:color="auto"/>
              <w:left w:val="single" w:sz="4" w:space="0" w:color="595959" w:themeColor="text1" w:themeTint="A6"/>
              <w:bottom w:val="single" w:sz="4" w:space="0" w:color="595959" w:themeColor="text1" w:themeTint="A6"/>
              <w:right w:val="single" w:sz="4" w:space="0" w:color="595959" w:themeColor="text1" w:themeTint="A6"/>
            </w:tcBorders>
            <w:vAlign w:val="center"/>
          </w:tcPr>
          <w:p w14:paraId="499A276C" w14:textId="4B4FAD55" w:rsidR="3C127E2C" w:rsidRDefault="3B271C7D" w:rsidP="3C127E2C">
            <w:pPr>
              <w:spacing w:line="240" w:lineRule="auto"/>
              <w:rPr>
                <w:rFonts w:ascii="Open Sans" w:eastAsia="Times New Roman" w:hAnsi="Open Sans" w:cs="Open Sans"/>
                <w:b/>
                <w:bCs/>
                <w:color w:val="595959" w:themeColor="text1" w:themeTint="A6"/>
                <w:sz w:val="20"/>
                <w:szCs w:val="20"/>
                <w:lang w:val="en-GB"/>
              </w:rPr>
            </w:pPr>
            <w:r w:rsidRPr="7CCC84B7">
              <w:rPr>
                <w:rFonts w:ascii="Open Sans" w:eastAsia="Times New Roman" w:hAnsi="Open Sans" w:cs="Open Sans"/>
                <w:b/>
                <w:bCs/>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E411C09" w14:textId="20AB6A41" w:rsidR="3C127E2C" w:rsidRDefault="1EF1843B" w:rsidP="7CCC84B7">
            <w:pPr>
              <w:rPr>
                <w:rFonts w:ascii="Open Sans" w:eastAsia="Times New Roman" w:hAnsi="Open Sans" w:cs="Open Sans"/>
                <w:color w:val="595959" w:themeColor="text1" w:themeTint="A6"/>
                <w:sz w:val="20"/>
                <w:szCs w:val="20"/>
                <w:lang w:val="en-GB"/>
              </w:rPr>
            </w:pPr>
            <w:r w:rsidRPr="7CCC84B7">
              <w:rPr>
                <w:rFonts w:ascii="Open Sans" w:eastAsia="Times New Roman" w:hAnsi="Open Sans" w:cs="Open Sans"/>
                <w:b/>
                <w:color w:val="595959" w:themeColor="text1" w:themeTint="A6"/>
                <w:sz w:val="20"/>
                <w:szCs w:val="20"/>
                <w:lang w:val="en-GB"/>
              </w:rPr>
              <w:t xml:space="preserve">Checkpoints </w:t>
            </w:r>
            <w:r w:rsidR="004B5C07">
              <w:rPr>
                <w:rFonts w:ascii="Open Sans" w:eastAsia="Times New Roman" w:hAnsi="Open Sans" w:cs="Open Sans"/>
                <w:b/>
                <w:color w:val="595959" w:themeColor="text1" w:themeTint="A6"/>
                <w:sz w:val="20"/>
                <w:szCs w:val="20"/>
                <w:lang w:val="en-GB"/>
              </w:rPr>
              <w:t>T</w:t>
            </w:r>
            <w:r w:rsidRPr="7CCC84B7">
              <w:rPr>
                <w:rFonts w:ascii="Open Sans" w:eastAsia="Times New Roman" w:hAnsi="Open Sans" w:cs="Open Sans"/>
                <w:b/>
                <w:color w:val="595959" w:themeColor="text1" w:themeTint="A6"/>
                <w:sz w:val="20"/>
                <w:szCs w:val="20"/>
                <w:lang w:val="en-GB"/>
              </w:rPr>
              <w:t xml:space="preserve">owards </w:t>
            </w:r>
            <w:r w:rsidR="004B5C07">
              <w:rPr>
                <w:rFonts w:ascii="Open Sans" w:eastAsia="Times New Roman" w:hAnsi="Open Sans" w:cs="Open Sans"/>
                <w:b/>
                <w:color w:val="595959" w:themeColor="text1" w:themeTint="A6"/>
                <w:sz w:val="20"/>
                <w:szCs w:val="20"/>
                <w:lang w:val="en-GB"/>
              </w:rPr>
              <w:t>F</w:t>
            </w:r>
            <w:r w:rsidRPr="7CCC84B7">
              <w:rPr>
                <w:rFonts w:ascii="Open Sans" w:eastAsia="Times New Roman" w:hAnsi="Open Sans" w:cs="Open Sans"/>
                <w:b/>
                <w:color w:val="595959" w:themeColor="text1" w:themeTint="A6"/>
                <w:sz w:val="20"/>
                <w:szCs w:val="20"/>
                <w:lang w:val="en-GB"/>
              </w:rPr>
              <w:t xml:space="preserve">ull </w:t>
            </w:r>
            <w:r w:rsidR="004B5C07">
              <w:rPr>
                <w:rFonts w:ascii="Open Sans" w:eastAsia="Times New Roman" w:hAnsi="Open Sans" w:cs="Open Sans"/>
                <w:b/>
                <w:color w:val="595959" w:themeColor="text1" w:themeTint="A6"/>
                <w:sz w:val="20"/>
                <w:szCs w:val="20"/>
                <w:lang w:val="en-GB"/>
              </w:rPr>
              <w:t>C</w:t>
            </w:r>
            <w:r w:rsidRPr="7CCC84B7">
              <w:rPr>
                <w:rFonts w:ascii="Open Sans" w:eastAsia="Times New Roman" w:hAnsi="Open Sans" w:cs="Open Sans"/>
                <w:b/>
                <w:color w:val="595959" w:themeColor="text1" w:themeTint="A6"/>
                <w:sz w:val="20"/>
                <w:szCs w:val="20"/>
                <w:lang w:val="en-GB"/>
              </w:rPr>
              <w:t>ertification:</w:t>
            </w:r>
            <w:r w:rsidRPr="7CCC84B7">
              <w:rPr>
                <w:rFonts w:ascii="Open Sans" w:eastAsia="Times New Roman" w:hAnsi="Open Sans" w:cs="Open Sans"/>
                <w:color w:val="595959" w:themeColor="text1" w:themeTint="A6"/>
                <w:sz w:val="20"/>
                <w:szCs w:val="20"/>
                <w:lang w:val="en-GB"/>
              </w:rPr>
              <w:t xml:space="preserve"> What additional checkpoint</w:t>
            </w:r>
            <w:r w:rsidR="004B5C07">
              <w:rPr>
                <w:rFonts w:ascii="Open Sans" w:eastAsia="Times New Roman" w:hAnsi="Open Sans" w:cs="Open Sans"/>
                <w:color w:val="595959" w:themeColor="text1" w:themeTint="A6"/>
                <w:sz w:val="20"/>
                <w:szCs w:val="20"/>
                <w:lang w:val="en-GB"/>
              </w:rPr>
              <w:t>s</w:t>
            </w:r>
            <w:r w:rsidRPr="7CCC84B7">
              <w:rPr>
                <w:rFonts w:ascii="Open Sans" w:eastAsia="Times New Roman" w:hAnsi="Open Sans" w:cs="Open Sans"/>
                <w:color w:val="595959" w:themeColor="text1" w:themeTint="A6"/>
                <w:sz w:val="20"/>
                <w:szCs w:val="20"/>
                <w:lang w:val="en-GB"/>
              </w:rPr>
              <w:t xml:space="preserve"> should be provided for production sites to ensure p</w:t>
            </w:r>
            <w:r w:rsidR="004B5C07">
              <w:rPr>
                <w:rFonts w:ascii="Open Sans" w:eastAsia="Times New Roman" w:hAnsi="Open Sans" w:cs="Open Sans"/>
                <w:color w:val="595959" w:themeColor="text1" w:themeTint="A6"/>
                <w:sz w:val="20"/>
                <w:szCs w:val="20"/>
                <w:lang w:val="en-GB"/>
              </w:rPr>
              <w:t>ro</w:t>
            </w:r>
            <w:r w:rsidRPr="7CCC84B7">
              <w:rPr>
                <w:rFonts w:ascii="Open Sans" w:eastAsia="Times New Roman" w:hAnsi="Open Sans" w:cs="Open Sans"/>
                <w:color w:val="595959" w:themeColor="text1" w:themeTint="A6"/>
                <w:sz w:val="20"/>
                <w:szCs w:val="20"/>
                <w:lang w:val="en-GB"/>
              </w:rPr>
              <w:t xml:space="preserve">gress </w:t>
            </w:r>
            <w:r w:rsidR="005024BB">
              <w:rPr>
                <w:rFonts w:ascii="Open Sans" w:eastAsia="Times New Roman" w:hAnsi="Open Sans" w:cs="Open Sans"/>
                <w:color w:val="595959" w:themeColor="text1" w:themeTint="A6"/>
                <w:sz w:val="20"/>
                <w:szCs w:val="20"/>
                <w:lang w:val="en-GB"/>
              </w:rPr>
              <w:t>is</w:t>
            </w:r>
            <w:r w:rsidRPr="7CCC84B7">
              <w:rPr>
                <w:rFonts w:ascii="Open Sans" w:eastAsia="Times New Roman" w:hAnsi="Open Sans" w:cs="Open Sans"/>
                <w:color w:val="595959" w:themeColor="text1" w:themeTint="A6"/>
                <w:sz w:val="20"/>
                <w:szCs w:val="20"/>
                <w:lang w:val="en-GB"/>
              </w:rPr>
              <w:t xml:space="preserve"> made </w:t>
            </w:r>
            <w:r w:rsidR="08AEF2ED" w:rsidRPr="7CCC84B7">
              <w:rPr>
                <w:rFonts w:ascii="Open Sans" w:eastAsia="Times New Roman" w:hAnsi="Open Sans" w:cs="Open Sans"/>
                <w:color w:val="595959" w:themeColor="text1" w:themeTint="A6"/>
                <w:sz w:val="20"/>
                <w:szCs w:val="20"/>
                <w:lang w:val="en-GB"/>
              </w:rPr>
              <w:t>toward</w:t>
            </w:r>
            <w:r w:rsidRPr="7CCC84B7">
              <w:rPr>
                <w:rFonts w:ascii="Open Sans" w:eastAsia="Times New Roman" w:hAnsi="Open Sans" w:cs="Open Sans"/>
                <w:color w:val="595959" w:themeColor="text1" w:themeTint="A6"/>
                <w:sz w:val="20"/>
                <w:szCs w:val="20"/>
                <w:lang w:val="en-GB"/>
              </w:rPr>
              <w:t xml:space="preserve"> core site </w:t>
            </w:r>
            <w:r w:rsidR="723D722B" w:rsidRPr="7CCC84B7">
              <w:rPr>
                <w:rFonts w:ascii="Open Sans" w:eastAsia="Times New Roman" w:hAnsi="Open Sans" w:cs="Open Sans"/>
                <w:color w:val="595959" w:themeColor="text1" w:themeTint="A6"/>
                <w:sz w:val="20"/>
                <w:szCs w:val="20"/>
                <w:lang w:val="en-GB"/>
              </w:rPr>
              <w:t>certification?</w:t>
            </w:r>
          </w:p>
        </w:tc>
      </w:tr>
      <w:tr w:rsidR="7CCC84B7" w14:paraId="4AA29E42" w14:textId="77777777" w:rsidTr="7CCC84B7">
        <w:trPr>
          <w:trHeight w:val="720"/>
        </w:trPr>
        <w:tc>
          <w:tcPr>
            <w:tcW w:w="428" w:type="dxa"/>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E45A5F0" w14:textId="77777777" w:rsidR="009F2AAE" w:rsidRDefault="009F2AAE"/>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488E087" w14:textId="326973FB" w:rsidR="0C3E7608" w:rsidRDefault="0C3E7608" w:rsidP="7CCC84B7">
            <w:pPr>
              <w:rPr>
                <w:rFonts w:ascii="Open Sans" w:eastAsia="Times New Roman" w:hAnsi="Open Sans" w:cs="Open Sans"/>
                <w:b/>
                <w:color w:val="595959" w:themeColor="text1" w:themeTint="A6"/>
                <w:sz w:val="20"/>
                <w:szCs w:val="20"/>
                <w:lang w:val="en-GB"/>
              </w:rPr>
            </w:pPr>
            <w:r w:rsidRPr="7CCC84B7">
              <w:rPr>
                <w:rFonts w:ascii="Open Sans" w:eastAsia="Times New Roman" w:hAnsi="Open Sans" w:cs="Open Sans"/>
                <w:b/>
                <w:bCs/>
                <w:color w:val="17406D" w:themeColor="text2"/>
                <w:sz w:val="20"/>
                <w:szCs w:val="20"/>
                <w:lang w:val="en-GB"/>
              </w:rPr>
              <w:t>Answer:</w:t>
            </w:r>
          </w:p>
        </w:tc>
      </w:tr>
    </w:tbl>
    <w:p w14:paraId="7CA4AB46" w14:textId="77777777" w:rsidR="0069241E" w:rsidRPr="004A61C3" w:rsidRDefault="0069241E" w:rsidP="0069241E">
      <w:pPr>
        <w:rPr>
          <w:rFonts w:ascii="Open Sans" w:eastAsia="Times New Roman" w:hAnsi="Open Sans" w:cs="Open Sans"/>
          <w:b/>
          <w:color w:val="595959"/>
          <w:sz w:val="20"/>
          <w:szCs w:val="20"/>
          <w:u w:val="single"/>
          <w:lang w:val="en-GB"/>
        </w:rPr>
      </w:pPr>
    </w:p>
    <w:p w14:paraId="544B8EB2" w14:textId="77777777"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Section 6 BCU Registration</w:t>
      </w:r>
    </w:p>
    <w:p w14:paraId="71AE1CA6" w14:textId="77777777" w:rsidR="0069241E" w:rsidRPr="00F70B87" w:rsidRDefault="0069241E" w:rsidP="00AE2C1A">
      <w:pPr>
        <w:rPr>
          <w:rFonts w:ascii="Open Sans" w:eastAsia="Calibri" w:hAnsi="Open Sans" w:cs="Open Sans"/>
          <w:color w:val="595959" w:themeColor="text1" w:themeTint="A6"/>
          <w:sz w:val="20"/>
          <w:szCs w:val="20"/>
        </w:rPr>
      </w:pPr>
      <w:r w:rsidRPr="00F70B87">
        <w:rPr>
          <w:rFonts w:ascii="Open Sans" w:eastAsia="Calibri" w:hAnsi="Open Sans" w:cs="Open Sans"/>
          <w:color w:val="595959" w:themeColor="text1" w:themeTint="A6"/>
          <w:sz w:val="20"/>
          <w:szCs w:val="20"/>
        </w:rPr>
        <w:t>The following requirements define how BCUs are registered to ensure credibility, temporal integrity, and traceability of environmental attributes associated with low-emissions iron and steel production. This guidance establishes two core registration requirements for distinct but complementary purposes:</w:t>
      </w:r>
    </w:p>
    <w:p w14:paraId="3F8E1247" w14:textId="77777777" w:rsidR="0069241E" w:rsidRPr="00F70B87" w:rsidRDefault="0069241E" w:rsidP="00AE2C1A">
      <w:pPr>
        <w:pStyle w:val="ListParagraph"/>
        <w:numPr>
          <w:ilvl w:val="0"/>
          <w:numId w:val="1"/>
        </w:numPr>
        <w:rPr>
          <w:rFonts w:ascii="Open Sans" w:eastAsia="Calibri" w:hAnsi="Open Sans" w:cs="Open Sans"/>
          <w:color w:val="595959" w:themeColor="text1" w:themeTint="A6"/>
          <w:sz w:val="20"/>
          <w:szCs w:val="20"/>
        </w:rPr>
      </w:pPr>
      <w:r w:rsidRPr="00F70B87">
        <w:rPr>
          <w:rFonts w:ascii="Open Sans" w:eastAsia="Calibri" w:hAnsi="Open Sans" w:cs="Open Sans"/>
          <w:b/>
          <w:color w:val="595959" w:themeColor="text1" w:themeTint="A6"/>
          <w:sz w:val="20"/>
          <w:szCs w:val="20"/>
        </w:rPr>
        <w:lastRenderedPageBreak/>
        <w:t>Temporal requirement</w:t>
      </w:r>
      <w:r w:rsidRPr="00F70B87">
        <w:rPr>
          <w:rFonts w:ascii="Open Sans" w:eastAsia="Calibri" w:hAnsi="Open Sans" w:cs="Open Sans"/>
          <w:color w:val="595959" w:themeColor="text1" w:themeTint="A6"/>
          <w:sz w:val="20"/>
          <w:szCs w:val="20"/>
        </w:rPr>
        <w:t>, which ensures BCUs represent verified, real-world climate outcomes that have occurred within a defined time window and are linked to actual production and delivery of low-emissions materials. (Section 6.1).</w:t>
      </w:r>
    </w:p>
    <w:p w14:paraId="485FFEF1" w14:textId="77777777" w:rsidR="0069241E" w:rsidRPr="00F70B87" w:rsidRDefault="0069241E" w:rsidP="00AE2C1A">
      <w:pPr>
        <w:pStyle w:val="ListParagraph"/>
        <w:numPr>
          <w:ilvl w:val="0"/>
          <w:numId w:val="1"/>
        </w:numPr>
        <w:rPr>
          <w:rFonts w:ascii="Open Sans" w:eastAsia="Calibri" w:hAnsi="Open Sans" w:cs="Open Sans"/>
          <w:color w:val="595959" w:themeColor="text1" w:themeTint="A6"/>
          <w:sz w:val="20"/>
          <w:szCs w:val="20"/>
        </w:rPr>
      </w:pPr>
      <w:r w:rsidRPr="00F70B87">
        <w:rPr>
          <w:rFonts w:ascii="Open Sans" w:eastAsia="Calibri" w:hAnsi="Open Sans" w:cs="Open Sans"/>
          <w:b/>
          <w:color w:val="595959" w:themeColor="text1" w:themeTint="A6"/>
          <w:sz w:val="20"/>
          <w:szCs w:val="20"/>
        </w:rPr>
        <w:t>Traceability requirement</w:t>
      </w:r>
      <w:r w:rsidRPr="00F70B87">
        <w:rPr>
          <w:rFonts w:ascii="Open Sans" w:eastAsia="Calibri" w:hAnsi="Open Sans" w:cs="Open Sans"/>
          <w:color w:val="595959" w:themeColor="text1" w:themeTint="A6"/>
          <w:sz w:val="20"/>
          <w:szCs w:val="20"/>
        </w:rPr>
        <w:t>, which ensures sufficient registry-level information is available to assess eligibility, accounting integrity, additionality, and buyer-relevant attributes of each BCU (Section 6.2).</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72D329C0"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25C43287"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6.1 Temporal Requirement of BCU Issuance</w:t>
            </w:r>
          </w:p>
        </w:tc>
      </w:tr>
      <w:tr w:rsidR="0069241E" w:rsidRPr="00F9616D" w14:paraId="2C11709E"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9F59A3F" w14:textId="77777777" w:rsidR="0069241E" w:rsidRPr="004A61C3" w:rsidRDefault="0069241E">
            <w:pPr>
              <w:pStyle w:val="NormalWeb"/>
              <w:rPr>
                <w:rFonts w:ascii="Open Sans" w:hAnsi="Open Sans" w:cs="Open Sans"/>
                <w:sz w:val="20"/>
                <w:szCs w:val="20"/>
              </w:rPr>
            </w:pPr>
            <w:r w:rsidRPr="004A61C3">
              <w:rPr>
                <w:rFonts w:ascii="Open Sans" w:hAnsi="Open Sans" w:cs="Open Sans"/>
                <w:sz w:val="20"/>
                <w:szCs w:val="20"/>
              </w:rPr>
              <w:t>BCUs represent verified production outcomes and must reflect real-world climate performance.</w:t>
            </w:r>
          </w:p>
          <w:p w14:paraId="4E2B2127" w14:textId="5CCB2D9D" w:rsidR="0069241E" w:rsidRPr="004A61C3" w:rsidRDefault="0069241E" w:rsidP="008D7EBE">
            <w:pPr>
              <w:pStyle w:val="NormalWeb"/>
              <w:numPr>
                <w:ilvl w:val="0"/>
                <w:numId w:val="31"/>
              </w:numPr>
              <w:rPr>
                <w:rFonts w:ascii="Open Sans" w:hAnsi="Open Sans" w:cs="Open Sans"/>
                <w:sz w:val="20"/>
                <w:szCs w:val="20"/>
              </w:rPr>
            </w:pPr>
            <w:r w:rsidRPr="004A61C3">
              <w:rPr>
                <w:rFonts w:ascii="Open Sans" w:hAnsi="Open Sans" w:cs="Open Sans"/>
                <w:sz w:val="20"/>
                <w:szCs w:val="20"/>
              </w:rPr>
              <w:t xml:space="preserve">BCUs shall be issued only after production </w:t>
            </w:r>
            <w:r w:rsidR="00C63CCE">
              <w:rPr>
                <w:rFonts w:ascii="Open Sans" w:hAnsi="Open Sans" w:cs="Open Sans"/>
                <w:sz w:val="20"/>
                <w:szCs w:val="20"/>
              </w:rPr>
              <w:t xml:space="preserve">and after the corresponding physical iron or steel </w:t>
            </w:r>
            <w:r w:rsidRPr="004A61C3">
              <w:rPr>
                <w:rFonts w:ascii="Open Sans" w:hAnsi="Open Sans" w:cs="Open Sans"/>
                <w:sz w:val="20"/>
                <w:szCs w:val="20"/>
              </w:rPr>
              <w:t xml:space="preserve">has </w:t>
            </w:r>
            <w:r w:rsidR="00C63CCE">
              <w:rPr>
                <w:rFonts w:ascii="Open Sans" w:hAnsi="Open Sans" w:cs="Open Sans"/>
                <w:sz w:val="20"/>
                <w:szCs w:val="20"/>
              </w:rPr>
              <w:t>been delivered</w:t>
            </w:r>
            <w:r w:rsidRPr="004A61C3">
              <w:rPr>
                <w:rFonts w:ascii="Open Sans" w:hAnsi="Open Sans" w:cs="Open Sans"/>
                <w:sz w:val="20"/>
                <w:szCs w:val="20"/>
              </w:rPr>
              <w:t>.</w:t>
            </w:r>
          </w:p>
          <w:p w14:paraId="0D2A5527" w14:textId="6B18012C" w:rsidR="0069241E" w:rsidRPr="00C63CCE" w:rsidRDefault="0069241E" w:rsidP="008D7EBE">
            <w:pPr>
              <w:pStyle w:val="NormalWeb"/>
              <w:numPr>
                <w:ilvl w:val="0"/>
                <w:numId w:val="31"/>
              </w:numPr>
              <w:rPr>
                <w:rFonts w:ascii="Open Sans" w:hAnsi="Open Sans" w:cs="Open Sans"/>
                <w:sz w:val="20"/>
                <w:szCs w:val="20"/>
              </w:rPr>
            </w:pPr>
            <w:r w:rsidRPr="004A61C3">
              <w:rPr>
                <w:rFonts w:ascii="Open Sans" w:hAnsi="Open Sans" w:cs="Open Sans"/>
                <w:sz w:val="20"/>
                <w:szCs w:val="20"/>
              </w:rPr>
              <w:t xml:space="preserve">Issuance shall occur within </w:t>
            </w:r>
            <w:r w:rsidR="00C63CCE">
              <w:rPr>
                <w:rFonts w:ascii="Open Sans" w:hAnsi="Open Sans" w:cs="Open Sans"/>
                <w:sz w:val="20"/>
                <w:szCs w:val="20"/>
              </w:rPr>
              <w:t>24</w:t>
            </w:r>
            <w:r w:rsidR="00CA576B">
              <w:rPr>
                <w:rFonts w:ascii="Open Sans" w:hAnsi="Open Sans" w:cs="Open Sans"/>
                <w:sz w:val="20"/>
                <w:szCs w:val="20"/>
              </w:rPr>
              <w:t>-</w:t>
            </w:r>
            <w:r w:rsidR="00C63CCE">
              <w:rPr>
                <w:rFonts w:ascii="Open Sans" w:hAnsi="Open Sans" w:cs="Open Sans"/>
                <w:sz w:val="20"/>
                <w:szCs w:val="20"/>
              </w:rPr>
              <w:t>month</w:t>
            </w:r>
            <w:r w:rsidRPr="004A61C3">
              <w:rPr>
                <w:rFonts w:ascii="Open Sans" w:hAnsi="Open Sans" w:cs="Open Sans"/>
                <w:sz w:val="20"/>
                <w:szCs w:val="20"/>
              </w:rPr>
              <w:t xml:space="preserve"> window following production.</w:t>
            </w:r>
          </w:p>
        </w:tc>
      </w:tr>
      <w:tr w:rsidR="0069241E" w:rsidRPr="00F9616D" w14:paraId="4630DD92"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41A20C3"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96797A1"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Issuance Window:</w:t>
            </w:r>
            <w:r w:rsidRPr="004A61C3">
              <w:rPr>
                <w:rFonts w:ascii="Open Sans" w:eastAsia="Helvetica" w:hAnsi="Open Sans" w:cs="Open Sans"/>
                <w:color w:val="595959" w:themeColor="text1" w:themeTint="A6"/>
                <w:sz w:val="20"/>
                <w:szCs w:val="20"/>
              </w:rPr>
              <w:t xml:space="preserve"> Is the proposed 24-month issuance window after production appropriate? Please elaborate.</w:t>
            </w:r>
          </w:p>
        </w:tc>
      </w:tr>
      <w:tr w:rsidR="0069241E" w:rsidRPr="00F9616D" w14:paraId="0AD17C8C"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5BB0FAF6"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F988FCD"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5B7AAE70"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21A3CEDE"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443E37B" w14:textId="479CEDEE" w:rsidR="0069241E" w:rsidRPr="004A61C3" w:rsidRDefault="0069241E">
            <w:pPr>
              <w:spacing w:before="240" w:after="240"/>
              <w:rPr>
                <w:rFonts w:ascii="Open Sans" w:eastAsia="Times New Roman" w:hAnsi="Open Sans" w:cs="Open Sans"/>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Ex-Ante Issuance Under Offtake Agreements: </w:t>
            </w:r>
            <w:r w:rsidRPr="004A61C3">
              <w:rPr>
                <w:rFonts w:ascii="Open Sans" w:eastAsia="Times New Roman" w:hAnsi="Open Sans" w:cs="Open Sans"/>
                <w:color w:val="595959" w:themeColor="text1" w:themeTint="A6"/>
                <w:sz w:val="20"/>
                <w:szCs w:val="20"/>
                <w:lang w:val="en-GB"/>
              </w:rPr>
              <w:t xml:space="preserve">Under long-term offtake agreements, BCUs may be issued after ex-ante audit and production but before ex-post audit. Do you consider this arrangement to be helpful, and/or do you foresee any </w:t>
            </w:r>
            <w:r w:rsidR="00C63CCE" w:rsidRPr="004A61C3">
              <w:rPr>
                <w:rFonts w:ascii="Open Sans" w:eastAsia="Times New Roman" w:hAnsi="Open Sans" w:cs="Open Sans"/>
                <w:color w:val="595959" w:themeColor="text1" w:themeTint="A6"/>
                <w:sz w:val="20"/>
                <w:szCs w:val="20"/>
                <w:lang w:val="en-GB"/>
              </w:rPr>
              <w:t>concerns</w:t>
            </w:r>
            <w:r w:rsidRPr="004A61C3">
              <w:rPr>
                <w:rFonts w:ascii="Open Sans" w:eastAsia="Times New Roman" w:hAnsi="Open Sans" w:cs="Open Sans"/>
                <w:color w:val="595959" w:themeColor="text1" w:themeTint="A6"/>
                <w:sz w:val="20"/>
                <w:szCs w:val="20"/>
                <w:lang w:val="en-GB"/>
              </w:rPr>
              <w:t xml:space="preserve"> regarding credibility?</w:t>
            </w:r>
          </w:p>
        </w:tc>
      </w:tr>
      <w:tr w:rsidR="0069241E" w:rsidRPr="00F9616D" w14:paraId="38AE3AFD"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C82E6D7"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4DE8C04"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0F19C4F8" w14:textId="77777777" w:rsidR="0069241E" w:rsidRPr="004A61C3" w:rsidRDefault="0069241E" w:rsidP="00AE2C1A">
      <w:pPr>
        <w:shd w:val="clear" w:color="auto" w:fill="FFFFFF"/>
        <w:spacing w:before="240" w:line="240" w:lineRule="auto"/>
        <w:textAlignment w:val="baseline"/>
        <w:rPr>
          <w:rFonts w:ascii="Open Sans" w:eastAsia="Times New Roman" w:hAnsi="Open Sans" w:cs="Open Sans"/>
          <w:b/>
          <w:color w:val="595959"/>
          <w:sz w:val="20"/>
          <w:szCs w:val="20"/>
          <w:u w:val="single"/>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008F791F"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6AA61563"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6.2 Traceability Requirement for Registration</w:t>
            </w:r>
          </w:p>
        </w:tc>
      </w:tr>
      <w:tr w:rsidR="0069241E" w:rsidRPr="00F9616D" w14:paraId="2186259A" w14:textId="77777777" w:rsidTr="00592894">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bottom"/>
          </w:tcPr>
          <w:p w14:paraId="1B263AEF" w14:textId="77777777" w:rsidR="0069241E" w:rsidRPr="004A61C3" w:rsidRDefault="0069241E" w:rsidP="00592894">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Registry systems ensure transparency, uniqueness, and auditability of BCUs.</w:t>
            </w:r>
          </w:p>
          <w:p w14:paraId="24AF9DCC" w14:textId="77777777" w:rsidR="0069241E" w:rsidRPr="004A61C3" w:rsidRDefault="0069241E" w:rsidP="00592894">
            <w:pPr>
              <w:pStyle w:val="ListParagraph"/>
              <w:numPr>
                <w:ilvl w:val="0"/>
                <w:numId w:val="32"/>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Each BCU shall be uniquely recorded with complete production, emissions, and eligibility data.</w:t>
            </w:r>
          </w:p>
          <w:p w14:paraId="00455838" w14:textId="77777777" w:rsidR="0069241E" w:rsidRPr="004A61C3" w:rsidRDefault="0069241E" w:rsidP="00592894">
            <w:pPr>
              <w:pStyle w:val="ListParagraph"/>
              <w:numPr>
                <w:ilvl w:val="0"/>
                <w:numId w:val="32"/>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 single unit of production shall not be issued on multiple registries.</w:t>
            </w:r>
          </w:p>
          <w:p w14:paraId="7F56018B" w14:textId="77777777" w:rsidR="0069241E" w:rsidRPr="004A61C3" w:rsidRDefault="0069241E" w:rsidP="00592894">
            <w:pPr>
              <w:pStyle w:val="ListParagraph"/>
              <w:numPr>
                <w:ilvl w:val="0"/>
                <w:numId w:val="32"/>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Registry records shall provide sufficient information to support procurement evaluation, reporting, and assurance.</w:t>
            </w:r>
          </w:p>
        </w:tc>
      </w:tr>
      <w:tr w:rsidR="0069241E" w:rsidRPr="00F9616D" w14:paraId="4677134D"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25D4503"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lastRenderedPageBreak/>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2D432E" w14:textId="204BCF8F" w:rsidR="0069241E" w:rsidRPr="004A61C3" w:rsidRDefault="00154005">
            <w:pPr>
              <w:spacing w:before="240" w:after="240"/>
              <w:rPr>
                <w:rFonts w:ascii="Open Sans" w:eastAsia="Helvetica" w:hAnsi="Open Sans" w:cs="Open Sans"/>
                <w:color w:val="595959" w:themeColor="text1" w:themeTint="A6"/>
                <w:sz w:val="20"/>
                <w:szCs w:val="20"/>
              </w:rPr>
            </w:pPr>
            <w:r>
              <w:rPr>
                <w:rFonts w:ascii="Open Sans" w:eastAsia="Helvetica" w:hAnsi="Open Sans" w:cs="Open Sans"/>
                <w:b/>
                <w:bCs/>
                <w:color w:val="595959" w:themeColor="text1" w:themeTint="A6"/>
                <w:sz w:val="20"/>
                <w:szCs w:val="20"/>
              </w:rPr>
              <w:t>For</w:t>
            </w:r>
            <w:r w:rsidR="0069241E" w:rsidRPr="004A61C3">
              <w:rPr>
                <w:rFonts w:ascii="Open Sans" w:eastAsia="Helvetica" w:hAnsi="Open Sans" w:cs="Open Sans"/>
                <w:b/>
                <w:color w:val="595959" w:themeColor="text1" w:themeTint="A6"/>
                <w:sz w:val="20"/>
                <w:szCs w:val="20"/>
              </w:rPr>
              <w:t xml:space="preserve">: </w:t>
            </w:r>
            <w:r w:rsidR="0069241E" w:rsidRPr="004A61C3">
              <w:rPr>
                <w:rFonts w:ascii="Open Sans" w:eastAsia="Helvetica" w:hAnsi="Open Sans" w:cs="Open Sans"/>
                <w:color w:val="595959" w:themeColor="text1" w:themeTint="A6"/>
                <w:sz w:val="20"/>
                <w:szCs w:val="20"/>
              </w:rPr>
              <w:t>Are the proposed registry data fields (including production data, emissions performance, benchmark data, and additionality declarations) clear, reasonable, and feasible to provide? Which data elements would be most challenging and why?</w:t>
            </w:r>
          </w:p>
        </w:tc>
      </w:tr>
      <w:tr w:rsidR="0069241E" w:rsidRPr="00F9616D" w14:paraId="3B9C6946"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12C57C6"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D3028DC"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70C92E61"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A7F64BD"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4489D5A"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Buyer/Auditor: </w:t>
            </w:r>
            <w:r w:rsidRPr="004A61C3">
              <w:rPr>
                <w:rFonts w:ascii="Open Sans" w:eastAsia="Times New Roman" w:hAnsi="Open Sans" w:cs="Open Sans"/>
                <w:color w:val="595959" w:themeColor="text1" w:themeTint="A6"/>
                <w:sz w:val="20"/>
                <w:szCs w:val="20"/>
                <w:lang w:val="en-GB"/>
              </w:rPr>
              <w:t>Are the proposed registry data fields sufficient to assess eligibility, credibility, and relevance for procurement, reporting, or assurance purposes? Are additional data elements needed, or are any unnecessary?</w:t>
            </w:r>
          </w:p>
        </w:tc>
      </w:tr>
      <w:tr w:rsidR="0069241E" w:rsidRPr="00F9616D" w14:paraId="131C9C57"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1053147"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F405C2A"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4B0900F2" w14:textId="77777777" w:rsidR="00592894" w:rsidRPr="004A61C3" w:rsidRDefault="00592894" w:rsidP="0069241E">
      <w:pPr>
        <w:rPr>
          <w:rFonts w:ascii="Open Sans" w:eastAsia="Times New Roman" w:hAnsi="Open Sans" w:cs="Open Sans"/>
          <w:b/>
          <w:color w:val="595959"/>
          <w:sz w:val="20"/>
          <w:szCs w:val="20"/>
          <w:u w:val="single"/>
          <w:lang w:val="en-GB"/>
        </w:rPr>
      </w:pPr>
    </w:p>
    <w:p w14:paraId="4A4DD9F9" w14:textId="77777777"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Section 7 BCU Transfer</w:t>
      </w:r>
    </w:p>
    <w:p w14:paraId="27B00165" w14:textId="77777777" w:rsidR="0069241E" w:rsidRPr="004A61C3" w:rsidRDefault="0069241E" w:rsidP="0069241E">
      <w:pPr>
        <w:pStyle w:val="NormalWeb"/>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color w:val="595959" w:themeColor="text1" w:themeTint="A6"/>
          <w:sz w:val="20"/>
          <w:szCs w:val="20"/>
          <w:lang w:eastAsia="en-US"/>
        </w:rPr>
        <w:t>The following requirements define how BCUs may be transferred between eligible system users while preserving market integrity and preventing double counting. This guidance establishes two core safeguards:</w:t>
      </w:r>
    </w:p>
    <w:p w14:paraId="263254A9" w14:textId="77777777" w:rsidR="0069241E" w:rsidRPr="004A61C3" w:rsidRDefault="0069241E" w:rsidP="008D7EBE">
      <w:pPr>
        <w:pStyle w:val="NormalWeb"/>
        <w:numPr>
          <w:ilvl w:val="0"/>
          <w:numId w:val="15"/>
        </w:numPr>
        <w:spacing w:before="0" w:before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lang w:eastAsia="en-US"/>
        </w:rPr>
        <w:t>Transfer eligibility and constraints</w:t>
      </w:r>
      <w:r w:rsidRPr="757B3ABD">
        <w:rPr>
          <w:rFonts w:ascii="Open Sans" w:eastAsia="Calibri" w:hAnsi="Open Sans" w:cs="Open Sans"/>
          <w:color w:val="595959" w:themeColor="text1" w:themeTint="A6"/>
          <w:sz w:val="20"/>
          <w:szCs w:val="20"/>
          <w:lang w:eastAsia="en-US"/>
        </w:rPr>
        <w:t>, which ensure a single valid right to claim is maintained across transfers and that co-claimed BCUs cannot be transferred. (Section 7.1).</w:t>
      </w:r>
    </w:p>
    <w:p w14:paraId="73E6B07B" w14:textId="180D9DBE" w:rsidR="0069241E" w:rsidRPr="004A61C3" w:rsidRDefault="0069241E" w:rsidP="008D7EBE">
      <w:pPr>
        <w:pStyle w:val="NormalWeb"/>
        <w:numPr>
          <w:ilvl w:val="0"/>
          <w:numId w:val="15"/>
        </w:numPr>
        <w:spacing w:before="0" w:before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rPr>
        <w:t>Registry documentation</w:t>
      </w:r>
      <w:r w:rsidRPr="757B3ABD">
        <w:rPr>
          <w:rFonts w:ascii="Open Sans" w:eastAsia="Calibri" w:hAnsi="Open Sans" w:cs="Open Sans"/>
          <w:color w:val="595959" w:themeColor="text1" w:themeTint="A6"/>
          <w:sz w:val="20"/>
          <w:szCs w:val="20"/>
        </w:rPr>
        <w:t>, which ensures all transfers are transparently recorded and traceable to original issuance records (Section 7.2)</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3FD2DE14"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740D5DC2"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7.1 Transfer Rules</w:t>
            </w:r>
          </w:p>
        </w:tc>
      </w:tr>
      <w:tr w:rsidR="0069241E" w:rsidRPr="00F9616D" w14:paraId="2E4C2417"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9E6FD2"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Transfer provisions maintain a single valid right to claim throughout a BCU’s lifecycle.</w:t>
            </w:r>
          </w:p>
          <w:p w14:paraId="34349ADD" w14:textId="3CC647C9" w:rsidR="0069241E" w:rsidRPr="004A61C3" w:rsidRDefault="0069241E" w:rsidP="008D7EBE">
            <w:pPr>
              <w:pStyle w:val="ListParagraph"/>
              <w:numPr>
                <w:ilvl w:val="0"/>
                <w:numId w:val="33"/>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The transferring entity shall </w:t>
            </w:r>
            <w:r w:rsidR="58E8305F" w:rsidRPr="757B3ABD">
              <w:rPr>
                <w:rFonts w:ascii="Open Sans" w:eastAsia="Calibri" w:hAnsi="Open Sans" w:cs="Open Sans"/>
                <w:color w:val="595959" w:themeColor="text1" w:themeTint="A6"/>
                <w:sz w:val="20"/>
                <w:szCs w:val="20"/>
              </w:rPr>
              <w:t>fully</w:t>
            </w:r>
            <w:r w:rsidRPr="757B3ABD">
              <w:rPr>
                <w:rFonts w:ascii="Open Sans" w:eastAsia="Calibri" w:hAnsi="Open Sans" w:cs="Open Sans"/>
                <w:color w:val="595959" w:themeColor="text1" w:themeTint="A6"/>
                <w:sz w:val="20"/>
                <w:szCs w:val="20"/>
              </w:rPr>
              <w:t xml:space="preserve"> </w:t>
            </w:r>
            <w:r w:rsidR="58E8305F" w:rsidRPr="757B3ABD">
              <w:rPr>
                <w:rFonts w:ascii="Open Sans" w:eastAsia="Calibri" w:hAnsi="Open Sans" w:cs="Open Sans"/>
                <w:color w:val="595959" w:themeColor="text1" w:themeTint="A6"/>
                <w:sz w:val="20"/>
                <w:szCs w:val="20"/>
              </w:rPr>
              <w:t xml:space="preserve">surrender </w:t>
            </w:r>
            <w:proofErr w:type="gramStart"/>
            <w:r w:rsidR="58E8305F" w:rsidRPr="757B3ABD">
              <w:rPr>
                <w:rFonts w:ascii="Open Sans" w:eastAsia="Calibri" w:hAnsi="Open Sans" w:cs="Open Sans"/>
                <w:color w:val="595959" w:themeColor="text1" w:themeTint="A6"/>
                <w:sz w:val="20"/>
                <w:szCs w:val="20"/>
              </w:rPr>
              <w:t>its</w:t>
            </w:r>
            <w:proofErr w:type="gramEnd"/>
            <w:r w:rsidRPr="757B3ABD">
              <w:rPr>
                <w:rFonts w:ascii="Open Sans" w:eastAsia="Calibri" w:hAnsi="Open Sans" w:cs="Open Sans"/>
                <w:color w:val="595959" w:themeColor="text1" w:themeTint="A6"/>
                <w:sz w:val="20"/>
                <w:szCs w:val="20"/>
              </w:rPr>
              <w:t xml:space="preserve"> </w:t>
            </w:r>
            <w:r w:rsidR="682A3537" w:rsidRPr="757B3ABD">
              <w:rPr>
                <w:rFonts w:ascii="Open Sans" w:eastAsia="Calibri" w:hAnsi="Open Sans" w:cs="Open Sans"/>
                <w:color w:val="595959" w:themeColor="text1" w:themeTint="A6"/>
                <w:sz w:val="20"/>
                <w:szCs w:val="20"/>
              </w:rPr>
              <w:t>right to</w:t>
            </w:r>
            <w:r w:rsidRPr="004A61C3">
              <w:rPr>
                <w:rFonts w:ascii="Open Sans" w:eastAsia="Calibri" w:hAnsi="Open Sans" w:cs="Open Sans"/>
                <w:color w:val="595959" w:themeColor="text1" w:themeTint="A6"/>
                <w:sz w:val="20"/>
                <w:szCs w:val="20"/>
              </w:rPr>
              <w:t xml:space="preserve"> claim upon transfer.</w:t>
            </w:r>
          </w:p>
          <w:p w14:paraId="6125E660" w14:textId="77777777" w:rsidR="0069241E" w:rsidRPr="004A61C3" w:rsidRDefault="0069241E" w:rsidP="008D7EBE">
            <w:pPr>
              <w:pStyle w:val="ListParagraph"/>
              <w:numPr>
                <w:ilvl w:val="0"/>
                <w:numId w:val="33"/>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A single right to claim shall be </w:t>
            </w:r>
            <w:proofErr w:type="gramStart"/>
            <w:r w:rsidRPr="004A61C3">
              <w:rPr>
                <w:rFonts w:ascii="Open Sans" w:eastAsia="Calibri" w:hAnsi="Open Sans" w:cs="Open Sans"/>
                <w:color w:val="595959" w:themeColor="text1" w:themeTint="A6"/>
                <w:sz w:val="20"/>
                <w:szCs w:val="20"/>
              </w:rPr>
              <w:t>maintained at all times</w:t>
            </w:r>
            <w:proofErr w:type="gramEnd"/>
            <w:r w:rsidRPr="004A61C3">
              <w:rPr>
                <w:rFonts w:ascii="Open Sans" w:eastAsia="Calibri" w:hAnsi="Open Sans" w:cs="Open Sans"/>
                <w:color w:val="595959" w:themeColor="text1" w:themeTint="A6"/>
                <w:sz w:val="20"/>
                <w:szCs w:val="20"/>
              </w:rPr>
              <w:t>.</w:t>
            </w:r>
          </w:p>
          <w:p w14:paraId="0603E5C4" w14:textId="77777777" w:rsidR="0069241E" w:rsidRPr="004A61C3" w:rsidRDefault="0069241E" w:rsidP="008D7EBE">
            <w:pPr>
              <w:pStyle w:val="ListParagraph"/>
              <w:numPr>
                <w:ilvl w:val="0"/>
                <w:numId w:val="33"/>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Co-claimed BCUs shall not be transferred.</w:t>
            </w:r>
          </w:p>
          <w:p w14:paraId="5E925177" w14:textId="77777777" w:rsidR="0069241E" w:rsidRPr="004A61C3" w:rsidRDefault="0069241E" w:rsidP="008D7EBE">
            <w:pPr>
              <w:pStyle w:val="ListParagraph"/>
              <w:numPr>
                <w:ilvl w:val="0"/>
                <w:numId w:val="33"/>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Transfer conditions shall be contractually defined and reflected in registry records.</w:t>
            </w:r>
          </w:p>
        </w:tc>
      </w:tr>
      <w:tr w:rsidR="0069241E" w:rsidRPr="00F9616D" w14:paraId="0F535DA7"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114260"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32C234F"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Co-Claim Transfer Restriction:</w:t>
            </w:r>
            <w:r w:rsidRPr="004A61C3">
              <w:rPr>
                <w:rFonts w:ascii="Open Sans" w:eastAsia="Helvetica" w:hAnsi="Open Sans" w:cs="Open Sans"/>
                <w:color w:val="595959" w:themeColor="text1" w:themeTint="A6"/>
                <w:sz w:val="20"/>
                <w:szCs w:val="20"/>
              </w:rPr>
              <w:t xml:space="preserve"> Do you agree with prohibiting transfer of co-claimed BCUs </w:t>
            </w:r>
            <w:proofErr w:type="gramStart"/>
            <w:r w:rsidRPr="004A61C3">
              <w:rPr>
                <w:rFonts w:ascii="Open Sans" w:eastAsia="Helvetica" w:hAnsi="Open Sans" w:cs="Open Sans"/>
                <w:color w:val="595959" w:themeColor="text1" w:themeTint="A6"/>
                <w:sz w:val="20"/>
                <w:szCs w:val="20"/>
              </w:rPr>
              <w:t>in order to</w:t>
            </w:r>
            <w:proofErr w:type="gramEnd"/>
            <w:r w:rsidRPr="004A61C3">
              <w:rPr>
                <w:rFonts w:ascii="Open Sans" w:eastAsia="Helvetica" w:hAnsi="Open Sans" w:cs="Open Sans"/>
                <w:color w:val="595959" w:themeColor="text1" w:themeTint="A6"/>
                <w:sz w:val="20"/>
                <w:szCs w:val="20"/>
              </w:rPr>
              <w:t xml:space="preserve"> reduce double-counting risk?</w:t>
            </w:r>
          </w:p>
        </w:tc>
      </w:tr>
      <w:tr w:rsidR="0069241E" w:rsidRPr="00F9616D" w14:paraId="6716B687" w14:textId="77777777" w:rsidTr="757B3ABD">
        <w:trPr>
          <w:trHeight w:val="720"/>
        </w:trPr>
        <w:tc>
          <w:tcPr>
            <w:tcW w:w="428" w:type="dxa"/>
            <w:vMerge/>
            <w:vAlign w:val="center"/>
          </w:tcPr>
          <w:p w14:paraId="0C3C7BE1"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76920A9"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bl>
    <w:p w14:paraId="3B173056" w14:textId="77777777" w:rsidR="0069241E" w:rsidRPr="004A61C3" w:rsidRDefault="0069241E" w:rsidP="0069241E">
      <w:pPr>
        <w:pStyle w:val="NormalWeb"/>
        <w:spacing w:before="0" w:beforeAutospacing="0"/>
        <w:rPr>
          <w:rFonts w:ascii="Open Sans" w:eastAsia="Calibri" w:hAnsi="Open Sans" w:cs="Open Sans"/>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15EED4E7"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03A617E1"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7.2 Transfer Process and Documentation</w:t>
            </w:r>
          </w:p>
        </w:tc>
      </w:tr>
      <w:tr w:rsidR="0069241E" w:rsidRPr="00F9616D" w14:paraId="23A71396"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66A644F"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All transfers must be transparent and traceable.</w:t>
            </w:r>
          </w:p>
          <w:p w14:paraId="3A96DBA1" w14:textId="77777777" w:rsidR="0069241E" w:rsidRPr="004A61C3" w:rsidRDefault="0069241E" w:rsidP="008D7EBE">
            <w:pPr>
              <w:pStyle w:val="ListParagraph"/>
              <w:numPr>
                <w:ilvl w:val="0"/>
                <w:numId w:val="34"/>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Transfers shall be recorded in the registry and linked to the original issuance record.</w:t>
            </w:r>
          </w:p>
          <w:p w14:paraId="48747A6B" w14:textId="77777777" w:rsidR="0069241E" w:rsidRPr="004A61C3" w:rsidRDefault="0069241E" w:rsidP="008D7EBE">
            <w:pPr>
              <w:pStyle w:val="ListParagraph"/>
              <w:numPr>
                <w:ilvl w:val="0"/>
                <w:numId w:val="34"/>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Transfer records shall identify all parties, volumes transferred, and confirmation of claim-right surrender.</w:t>
            </w:r>
          </w:p>
          <w:p w14:paraId="378926ED" w14:textId="77777777" w:rsidR="0069241E" w:rsidRPr="004A61C3" w:rsidRDefault="0069241E" w:rsidP="008D7EBE">
            <w:pPr>
              <w:pStyle w:val="ListParagraph"/>
              <w:numPr>
                <w:ilvl w:val="0"/>
                <w:numId w:val="34"/>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Registry systems shall update ownership status in real time to preserve traceability.</w:t>
            </w:r>
          </w:p>
        </w:tc>
      </w:tr>
      <w:tr w:rsidR="0069241E" w:rsidRPr="00F9616D" w14:paraId="69B2C563"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BA731E4"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831CDD9"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Buyer:</w:t>
            </w:r>
            <w:r w:rsidRPr="004A61C3">
              <w:rPr>
                <w:rFonts w:ascii="Open Sans" w:eastAsia="Helvetica" w:hAnsi="Open Sans" w:cs="Open Sans"/>
                <w:color w:val="595959" w:themeColor="text1" w:themeTint="A6"/>
                <w:sz w:val="20"/>
                <w:szCs w:val="20"/>
              </w:rPr>
              <w:t xml:space="preserve"> Are the required data fields for transfer documentation sufficient and reasonable to provide?</w:t>
            </w:r>
          </w:p>
        </w:tc>
      </w:tr>
      <w:tr w:rsidR="0069241E" w:rsidRPr="00F9616D" w14:paraId="4D31607C"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A4B52B7"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6B0F19A"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1A1AB25C"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A4F5015"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FC02A11"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Helvetica" w:hAnsi="Open Sans" w:cs="Open Sans"/>
                <w:b/>
                <w:color w:val="595959" w:themeColor="text1" w:themeTint="A6"/>
                <w:sz w:val="20"/>
                <w:szCs w:val="20"/>
              </w:rPr>
              <w:t>Auditor:</w:t>
            </w:r>
            <w:r w:rsidRPr="004A61C3">
              <w:rPr>
                <w:rFonts w:ascii="Open Sans" w:eastAsia="Helvetica" w:hAnsi="Open Sans" w:cs="Open Sans"/>
                <w:color w:val="595959" w:themeColor="text1" w:themeTint="A6"/>
                <w:sz w:val="20"/>
                <w:szCs w:val="20"/>
              </w:rPr>
              <w:t xml:space="preserve"> Are there additional data elements you would expect to see to support assurance, particularly where BCUs are transferred multiple times?</w:t>
            </w:r>
          </w:p>
        </w:tc>
      </w:tr>
      <w:tr w:rsidR="0069241E" w:rsidRPr="00F9616D" w14:paraId="1E64DFAA"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D392148"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3BE80ED"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1EE52EE3" w14:textId="77777777" w:rsidR="0069241E" w:rsidRPr="004A61C3" w:rsidRDefault="0069241E" w:rsidP="0069241E">
      <w:pPr>
        <w:rPr>
          <w:rFonts w:ascii="Open Sans" w:eastAsia="Times New Roman" w:hAnsi="Open Sans" w:cs="Open Sans"/>
          <w:b/>
          <w:color w:val="595959"/>
          <w:sz w:val="20"/>
          <w:szCs w:val="20"/>
          <w:u w:val="single"/>
          <w:lang w:val="en-GB"/>
        </w:rPr>
      </w:pPr>
    </w:p>
    <w:p w14:paraId="594481CC" w14:textId="77777777"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Section 8 BCU Retirement</w:t>
      </w:r>
    </w:p>
    <w:p w14:paraId="343445F4" w14:textId="3CA0B6E3" w:rsidR="0069241E" w:rsidRPr="004A61C3" w:rsidRDefault="0069241E" w:rsidP="0069241E">
      <w:pPr>
        <w:pStyle w:val="NormalWeb"/>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color w:val="595959" w:themeColor="text1" w:themeTint="A6"/>
          <w:sz w:val="20"/>
          <w:szCs w:val="20"/>
          <w:lang w:eastAsia="en-US"/>
        </w:rPr>
        <w:t>The following requirements define how BCUs are retired to ensure temporal alignment and prevent reuse. This guidance establishes two core retirement safeguards:</w:t>
      </w:r>
    </w:p>
    <w:p w14:paraId="546C691F" w14:textId="77777777" w:rsidR="0069241E" w:rsidRPr="004A61C3" w:rsidRDefault="0069241E" w:rsidP="008D7EBE">
      <w:pPr>
        <w:pStyle w:val="NormalWeb"/>
        <w:numPr>
          <w:ilvl w:val="0"/>
          <w:numId w:val="9"/>
        </w:numPr>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lang w:eastAsia="en-US"/>
        </w:rPr>
        <w:t>Vintage matching requirements</w:t>
      </w:r>
      <w:r w:rsidRPr="757B3ABD">
        <w:rPr>
          <w:rFonts w:ascii="Open Sans" w:eastAsia="Calibri" w:hAnsi="Open Sans" w:cs="Open Sans"/>
          <w:color w:val="595959" w:themeColor="text1" w:themeTint="A6"/>
          <w:sz w:val="20"/>
          <w:szCs w:val="20"/>
          <w:lang w:eastAsia="en-US"/>
        </w:rPr>
        <w:t>, which ensure BCUs are applied within an appropriate time window relative to production and reporting periods (8.1).</w:t>
      </w:r>
    </w:p>
    <w:p w14:paraId="5E09AF0A" w14:textId="77777777" w:rsidR="0069241E" w:rsidRPr="004A61C3" w:rsidRDefault="0069241E" w:rsidP="008D7EBE">
      <w:pPr>
        <w:pStyle w:val="NormalWeb"/>
        <w:numPr>
          <w:ilvl w:val="0"/>
          <w:numId w:val="9"/>
        </w:numPr>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rPr>
        <w:t>Registry retirement documentation</w:t>
      </w:r>
      <w:r w:rsidRPr="757B3ABD">
        <w:rPr>
          <w:rFonts w:ascii="Open Sans" w:eastAsia="Calibri" w:hAnsi="Open Sans" w:cs="Open Sans"/>
          <w:color w:val="595959" w:themeColor="text1" w:themeTint="A6"/>
          <w:sz w:val="20"/>
          <w:szCs w:val="20"/>
        </w:rPr>
        <w:t>, which ensures each BCU is uniquely retired and linked to a specific claiming entity (8.2).</w:t>
      </w:r>
    </w:p>
    <w:p w14:paraId="348CF83D" w14:textId="77777777" w:rsidR="0069241E" w:rsidRPr="004A61C3"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0F857DB7"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1F1BFB54"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8.1 BCU Vintage and Retirement</w:t>
            </w:r>
          </w:p>
        </w:tc>
      </w:tr>
      <w:tr w:rsidR="0069241E" w:rsidRPr="00F9616D" w14:paraId="4C98D721"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F3491CD" w14:textId="77777777" w:rsidR="0069241E" w:rsidRPr="004A61C3" w:rsidRDefault="0069241E">
            <w:pPr>
              <w:pStyle w:val="NormalWeb"/>
              <w:rPr>
                <w:rFonts w:ascii="Open Sans" w:hAnsi="Open Sans" w:cs="Open Sans"/>
                <w:color w:val="595959" w:themeColor="text1" w:themeTint="A6"/>
                <w:sz w:val="20"/>
                <w:szCs w:val="20"/>
              </w:rPr>
            </w:pPr>
            <w:r w:rsidRPr="757B3ABD">
              <w:rPr>
                <w:rFonts w:ascii="Open Sans" w:hAnsi="Open Sans" w:cs="Open Sans"/>
                <w:color w:val="595959" w:themeColor="text1" w:themeTint="A6"/>
                <w:sz w:val="20"/>
                <w:szCs w:val="20"/>
              </w:rPr>
              <w:lastRenderedPageBreak/>
              <w:t>Retirement safeguards ensure temporal alignment between production and claims.</w:t>
            </w:r>
          </w:p>
          <w:p w14:paraId="6ECA216A" w14:textId="77777777" w:rsidR="0069241E" w:rsidRPr="004A61C3" w:rsidRDefault="0069241E" w:rsidP="008D7EBE">
            <w:pPr>
              <w:pStyle w:val="NormalWeb"/>
              <w:numPr>
                <w:ilvl w:val="0"/>
                <w:numId w:val="35"/>
              </w:numPr>
              <w:rPr>
                <w:rFonts w:ascii="Open Sans" w:hAnsi="Open Sans" w:cs="Open Sans"/>
                <w:color w:val="595959" w:themeColor="text1" w:themeTint="A6"/>
                <w:sz w:val="20"/>
                <w:szCs w:val="20"/>
              </w:rPr>
            </w:pPr>
            <w:r w:rsidRPr="757B3ABD">
              <w:rPr>
                <w:rFonts w:ascii="Open Sans" w:hAnsi="Open Sans" w:cs="Open Sans"/>
                <w:color w:val="595959" w:themeColor="text1" w:themeTint="A6"/>
                <w:sz w:val="20"/>
                <w:szCs w:val="20"/>
              </w:rPr>
              <w:t>BCUs shall be retired prior to making claims.</w:t>
            </w:r>
          </w:p>
          <w:p w14:paraId="5B70C556" w14:textId="5CFA2752" w:rsidR="0069241E" w:rsidRPr="004A61C3" w:rsidRDefault="0069241E" w:rsidP="008D7EBE">
            <w:pPr>
              <w:pStyle w:val="NormalWeb"/>
              <w:numPr>
                <w:ilvl w:val="0"/>
                <w:numId w:val="35"/>
              </w:numPr>
              <w:rPr>
                <w:rFonts w:ascii="Open Sans" w:hAnsi="Open Sans" w:cs="Open Sans"/>
                <w:color w:val="595959" w:themeColor="text1" w:themeTint="A6"/>
                <w:sz w:val="20"/>
                <w:szCs w:val="20"/>
              </w:rPr>
            </w:pPr>
            <w:r w:rsidRPr="757B3ABD">
              <w:rPr>
                <w:rFonts w:ascii="Open Sans" w:hAnsi="Open Sans" w:cs="Open Sans"/>
                <w:color w:val="595959" w:themeColor="text1" w:themeTint="A6"/>
                <w:sz w:val="20"/>
                <w:szCs w:val="20"/>
              </w:rPr>
              <w:t xml:space="preserve">Claims shall fall within a defined vintage matching window </w:t>
            </w:r>
            <w:r w:rsidR="67CEAB54" w:rsidRPr="757B3ABD">
              <w:rPr>
                <w:rFonts w:ascii="Open Sans" w:hAnsi="Open Sans" w:cs="Open Sans"/>
                <w:color w:val="595959" w:themeColor="text1" w:themeTint="A6"/>
                <w:sz w:val="20"/>
                <w:szCs w:val="20"/>
              </w:rPr>
              <w:t xml:space="preserve">(36 month) </w:t>
            </w:r>
            <w:r w:rsidRPr="757B3ABD">
              <w:rPr>
                <w:rFonts w:ascii="Open Sans" w:hAnsi="Open Sans" w:cs="Open Sans"/>
                <w:color w:val="595959" w:themeColor="text1" w:themeTint="A6"/>
                <w:sz w:val="20"/>
                <w:szCs w:val="20"/>
              </w:rPr>
              <w:t xml:space="preserve">relative to the </w:t>
            </w:r>
            <w:r w:rsidR="049CA791" w:rsidRPr="757B3ABD">
              <w:rPr>
                <w:rFonts w:ascii="Open Sans" w:hAnsi="Open Sans" w:cs="Open Sans"/>
                <w:color w:val="595959" w:themeColor="text1" w:themeTint="A6"/>
                <w:sz w:val="20"/>
                <w:szCs w:val="20"/>
              </w:rPr>
              <w:t>buyer’s</w:t>
            </w:r>
            <w:r w:rsidRPr="757B3ABD">
              <w:rPr>
                <w:rFonts w:ascii="Open Sans" w:hAnsi="Open Sans" w:cs="Open Sans"/>
                <w:color w:val="595959" w:themeColor="text1" w:themeTint="A6"/>
                <w:sz w:val="20"/>
                <w:szCs w:val="20"/>
              </w:rPr>
              <w:t xml:space="preserve"> reporting period.</w:t>
            </w:r>
          </w:p>
          <w:p w14:paraId="104F4864" w14:textId="77777777" w:rsidR="0069241E" w:rsidRPr="004A61C3" w:rsidRDefault="0069241E" w:rsidP="008D7EBE">
            <w:pPr>
              <w:pStyle w:val="NormalWeb"/>
              <w:numPr>
                <w:ilvl w:val="0"/>
                <w:numId w:val="35"/>
              </w:numPr>
              <w:rPr>
                <w:rFonts w:ascii="Open Sans" w:hAnsi="Open Sans" w:cs="Open Sans"/>
                <w:color w:val="595959" w:themeColor="text1" w:themeTint="A6"/>
              </w:rPr>
            </w:pPr>
            <w:r w:rsidRPr="757B3ABD">
              <w:rPr>
                <w:rFonts w:ascii="Open Sans" w:hAnsi="Open Sans" w:cs="Open Sans"/>
                <w:color w:val="595959" w:themeColor="text1" w:themeTint="A6"/>
                <w:sz w:val="20"/>
                <w:szCs w:val="20"/>
              </w:rPr>
              <w:t>Retirement permanently removes the BCU from circulation.</w:t>
            </w:r>
          </w:p>
        </w:tc>
      </w:tr>
      <w:tr w:rsidR="0069241E" w:rsidRPr="00F9616D" w14:paraId="26DD90CD"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E81ECAD"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9615A99" w14:textId="7BCADC3C"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Vintage Matching Window:</w:t>
            </w:r>
            <w:r w:rsidRPr="004A61C3">
              <w:rPr>
                <w:rFonts w:ascii="Open Sans" w:eastAsia="Helvetica" w:hAnsi="Open Sans" w:cs="Open Sans"/>
                <w:color w:val="595959" w:themeColor="text1" w:themeTint="A6"/>
                <w:sz w:val="20"/>
                <w:szCs w:val="20"/>
              </w:rPr>
              <w:t xml:space="preserve"> </w:t>
            </w:r>
            <w:r w:rsidR="76145C9F" w:rsidRPr="757B3ABD">
              <w:rPr>
                <w:rFonts w:ascii="Open Sans" w:eastAsia="Helvetica" w:hAnsi="Open Sans" w:cs="Open Sans"/>
                <w:color w:val="595959" w:themeColor="text1" w:themeTint="A6"/>
                <w:sz w:val="20"/>
                <w:szCs w:val="20"/>
              </w:rPr>
              <w:t>Do</w:t>
            </w:r>
            <w:r w:rsidRPr="004A61C3">
              <w:rPr>
                <w:rFonts w:ascii="Open Sans" w:eastAsia="Helvetica" w:hAnsi="Open Sans" w:cs="Open Sans"/>
                <w:color w:val="595959" w:themeColor="text1" w:themeTint="A6"/>
                <w:sz w:val="20"/>
                <w:szCs w:val="20"/>
              </w:rPr>
              <w:t xml:space="preserve"> you </w:t>
            </w:r>
            <w:r w:rsidR="76145C9F" w:rsidRPr="757B3ABD">
              <w:rPr>
                <w:rFonts w:ascii="Open Sans" w:eastAsia="Helvetica" w:hAnsi="Open Sans" w:cs="Open Sans"/>
                <w:color w:val="595959" w:themeColor="text1" w:themeTint="A6"/>
                <w:sz w:val="20"/>
                <w:szCs w:val="20"/>
              </w:rPr>
              <w:t>think</w:t>
            </w:r>
            <w:r w:rsidRPr="004A61C3">
              <w:rPr>
                <w:rFonts w:ascii="Open Sans" w:eastAsia="Helvetica" w:hAnsi="Open Sans" w:cs="Open Sans"/>
                <w:color w:val="595959" w:themeColor="text1" w:themeTint="A6"/>
                <w:sz w:val="20"/>
                <w:szCs w:val="20"/>
              </w:rPr>
              <w:t xml:space="preserve"> the requirement to apply a 36-month vintage matching window for temporal alignment</w:t>
            </w:r>
            <w:r w:rsidR="7CD4FE21" w:rsidRPr="757B3ABD">
              <w:rPr>
                <w:rFonts w:ascii="Open Sans" w:eastAsia="Helvetica" w:hAnsi="Open Sans" w:cs="Open Sans"/>
                <w:color w:val="595959" w:themeColor="text1" w:themeTint="A6"/>
                <w:sz w:val="20"/>
                <w:szCs w:val="20"/>
              </w:rPr>
              <w:t xml:space="preserve"> is feasible</w:t>
            </w:r>
            <w:r w:rsidRPr="757B3ABD">
              <w:rPr>
                <w:rFonts w:ascii="Open Sans" w:eastAsia="Helvetica" w:hAnsi="Open Sans" w:cs="Open Sans"/>
                <w:color w:val="595959" w:themeColor="text1" w:themeTint="A6"/>
                <w:sz w:val="20"/>
                <w:szCs w:val="20"/>
              </w:rPr>
              <w:t>?</w:t>
            </w:r>
            <w:r w:rsidRPr="004A61C3">
              <w:rPr>
                <w:rFonts w:ascii="Open Sans" w:eastAsia="Helvetica" w:hAnsi="Open Sans" w:cs="Open Sans"/>
                <w:color w:val="595959" w:themeColor="text1" w:themeTint="A6"/>
                <w:sz w:val="20"/>
                <w:szCs w:val="20"/>
              </w:rPr>
              <w:t xml:space="preserve"> What challenges do you foresee?</w:t>
            </w:r>
          </w:p>
        </w:tc>
      </w:tr>
      <w:tr w:rsidR="0069241E" w:rsidRPr="00F9616D" w14:paraId="36A923DD" w14:textId="77777777" w:rsidTr="757B3ABD">
        <w:trPr>
          <w:trHeight w:val="720"/>
        </w:trPr>
        <w:tc>
          <w:tcPr>
            <w:tcW w:w="428" w:type="dxa"/>
            <w:vMerge/>
            <w:vAlign w:val="center"/>
          </w:tcPr>
          <w:p w14:paraId="1D08CDA2"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5C58C6D"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bl>
    <w:p w14:paraId="11D1AF47" w14:textId="77777777" w:rsidR="0069241E" w:rsidRPr="004A61C3"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543B13FA" w14:textId="77777777" w:rsidR="00592894" w:rsidRPr="004A61C3" w:rsidRDefault="00592894"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6065A3B0" w14:textId="77777777" w:rsidR="00592894" w:rsidRPr="004A61C3" w:rsidRDefault="00592894"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20FE943A" w14:textId="77777777" w:rsidR="00592894" w:rsidRPr="004A61C3" w:rsidRDefault="00592894" w:rsidP="0069241E">
      <w:pPr>
        <w:pStyle w:val="NormalWeb"/>
        <w:spacing w:before="0" w:beforeAutospacing="0" w:after="0" w:afterAutospacing="0"/>
        <w:rPr>
          <w:rFonts w:ascii="Open Sans" w:eastAsia="Calibri" w:hAnsi="Open Sans" w:cs="Open Sans"/>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472E80C8"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343DF00A"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8.2 Traceability Requirement of BCU Retirement</w:t>
            </w:r>
          </w:p>
        </w:tc>
      </w:tr>
      <w:tr w:rsidR="0069241E" w:rsidRPr="00F9616D" w14:paraId="4B4DC4E0"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E0F47A1"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Retirement documentation preserves integrity and prevents reuse.</w:t>
            </w:r>
          </w:p>
          <w:p w14:paraId="0B3BD690" w14:textId="77777777" w:rsidR="0069241E" w:rsidRPr="004A61C3" w:rsidRDefault="0069241E" w:rsidP="008D7EBE">
            <w:pPr>
              <w:pStyle w:val="ListParagraph"/>
              <w:numPr>
                <w:ilvl w:val="0"/>
                <w:numId w:val="36"/>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Retirement records shall identify the retiring entity and retirement date.</w:t>
            </w:r>
          </w:p>
          <w:p w14:paraId="11A31B72" w14:textId="77777777" w:rsidR="0069241E" w:rsidRPr="004A61C3" w:rsidRDefault="0069241E" w:rsidP="008D7EBE">
            <w:pPr>
              <w:pStyle w:val="ListParagraph"/>
              <w:numPr>
                <w:ilvl w:val="0"/>
                <w:numId w:val="36"/>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Copy identifiers shall be recorded where co-claiming applies.</w:t>
            </w:r>
          </w:p>
          <w:p w14:paraId="3960A2AE" w14:textId="77777777" w:rsidR="0069241E" w:rsidRPr="004A61C3" w:rsidRDefault="0069241E" w:rsidP="008D7EBE">
            <w:pPr>
              <w:pStyle w:val="ListParagraph"/>
              <w:numPr>
                <w:ilvl w:val="0"/>
                <w:numId w:val="36"/>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Retired BCUs shall not be transferred, reissued, or reactivated.</w:t>
            </w:r>
          </w:p>
        </w:tc>
      </w:tr>
      <w:tr w:rsidR="0069241E" w:rsidRPr="00F9616D" w14:paraId="5E4630F9"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186B326"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7937041" w14:textId="6F68A3D3"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Retirement Disclosure Requirements:</w:t>
            </w:r>
            <w:r w:rsidRPr="004A61C3">
              <w:rPr>
                <w:rFonts w:ascii="Open Sans" w:eastAsia="Helvetica" w:hAnsi="Open Sans" w:cs="Open Sans"/>
                <w:color w:val="595959" w:themeColor="text1" w:themeTint="A6"/>
                <w:sz w:val="20"/>
                <w:szCs w:val="20"/>
              </w:rPr>
              <w:t xml:space="preserve"> Are additional data elements or disclosures needed </w:t>
            </w:r>
            <w:r w:rsidR="24F3C1F2" w:rsidRPr="757B3ABD">
              <w:rPr>
                <w:rFonts w:ascii="Open Sans" w:eastAsia="Helvetica" w:hAnsi="Open Sans" w:cs="Open Sans"/>
                <w:color w:val="595959" w:themeColor="text1" w:themeTint="A6"/>
                <w:sz w:val="20"/>
                <w:szCs w:val="20"/>
              </w:rPr>
              <w:t xml:space="preserve">as </w:t>
            </w:r>
            <w:r w:rsidR="00A53B8A">
              <w:rPr>
                <w:rFonts w:ascii="Open Sans" w:eastAsia="Helvetica" w:hAnsi="Open Sans" w:cs="Open Sans"/>
                <w:color w:val="595959" w:themeColor="text1" w:themeTint="A6"/>
                <w:sz w:val="20"/>
                <w:szCs w:val="20"/>
              </w:rPr>
              <w:t xml:space="preserve">a </w:t>
            </w:r>
            <w:r w:rsidR="24F3C1F2" w:rsidRPr="757B3ABD">
              <w:rPr>
                <w:rFonts w:ascii="Open Sans" w:eastAsia="Helvetica" w:hAnsi="Open Sans" w:cs="Open Sans"/>
                <w:color w:val="595959" w:themeColor="text1" w:themeTint="A6"/>
                <w:sz w:val="20"/>
                <w:szCs w:val="20"/>
              </w:rPr>
              <w:t xml:space="preserve">minimum </w:t>
            </w:r>
            <w:r w:rsidRPr="004A61C3">
              <w:rPr>
                <w:rFonts w:ascii="Open Sans" w:eastAsia="Helvetica" w:hAnsi="Open Sans" w:cs="Open Sans"/>
                <w:color w:val="595959" w:themeColor="text1" w:themeTint="A6"/>
                <w:sz w:val="20"/>
                <w:szCs w:val="20"/>
              </w:rPr>
              <w:t>to support assurance of BCU retirement</w:t>
            </w:r>
            <w:r w:rsidRPr="757B3ABD">
              <w:rPr>
                <w:rFonts w:ascii="Open Sans" w:eastAsia="Helvetica" w:hAnsi="Open Sans" w:cs="Open Sans"/>
                <w:color w:val="595959" w:themeColor="text1" w:themeTint="A6"/>
                <w:sz w:val="20"/>
                <w:szCs w:val="20"/>
              </w:rPr>
              <w:t>?</w:t>
            </w:r>
          </w:p>
        </w:tc>
      </w:tr>
      <w:tr w:rsidR="0069241E" w:rsidRPr="00F9616D" w14:paraId="2BC73231" w14:textId="77777777" w:rsidTr="757B3ABD">
        <w:trPr>
          <w:trHeight w:val="720"/>
        </w:trPr>
        <w:tc>
          <w:tcPr>
            <w:tcW w:w="428" w:type="dxa"/>
            <w:vMerge/>
            <w:vAlign w:val="center"/>
          </w:tcPr>
          <w:p w14:paraId="45D1B11D"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8846FF1"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bl>
    <w:p w14:paraId="13DD39C6" w14:textId="77777777" w:rsidR="0069241E"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17AF9C9A" w14:textId="77777777" w:rsidR="00764D89" w:rsidRDefault="00764D89"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6CE4232D" w14:textId="77777777" w:rsidR="00764D89" w:rsidRDefault="00764D89"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667BD65E" w14:textId="77777777" w:rsidR="00764D89" w:rsidRPr="004A61C3" w:rsidRDefault="00764D89"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28FE2EB5" w14:textId="77777777"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lastRenderedPageBreak/>
        <w:t>Section 9 BCU Claiming and Inventory Reporting</w:t>
      </w:r>
    </w:p>
    <w:p w14:paraId="3A529E0F" w14:textId="77777777" w:rsidR="0069241E" w:rsidRPr="004A61C3" w:rsidRDefault="0069241E" w:rsidP="0069241E">
      <w:pPr>
        <w:pStyle w:val="NormalWeb"/>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color w:val="595959" w:themeColor="text1" w:themeTint="A6"/>
          <w:sz w:val="20"/>
          <w:szCs w:val="20"/>
          <w:lang w:eastAsia="en-US"/>
        </w:rPr>
        <w:t>The following requirements define how BCUs may be applied within corporate emissions inventories to ensure transparency and accounting integrity. This guidance establishes three core claiming principles:</w:t>
      </w:r>
    </w:p>
    <w:p w14:paraId="0E868A28" w14:textId="77777777" w:rsidR="0069241E" w:rsidRPr="004A61C3" w:rsidRDefault="0069241E" w:rsidP="008D7EBE">
      <w:pPr>
        <w:pStyle w:val="NormalWeb"/>
        <w:numPr>
          <w:ilvl w:val="0"/>
          <w:numId w:val="9"/>
        </w:numPr>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lang w:eastAsia="en-US"/>
        </w:rPr>
        <w:t>Inventory alignment and allowable claims</w:t>
      </w:r>
      <w:r w:rsidRPr="757B3ABD">
        <w:rPr>
          <w:rFonts w:ascii="Open Sans" w:eastAsia="Calibri" w:hAnsi="Open Sans" w:cs="Open Sans"/>
          <w:color w:val="595959" w:themeColor="text1" w:themeTint="A6"/>
          <w:sz w:val="20"/>
          <w:szCs w:val="20"/>
          <w:lang w:eastAsia="en-US"/>
        </w:rPr>
        <w:t>, which ensure BCUs are applied only to relevant iron and steel emissions (Section 9.1).</w:t>
      </w:r>
    </w:p>
    <w:p w14:paraId="5A6ED8CD" w14:textId="77777777" w:rsidR="0069241E" w:rsidRPr="004A61C3" w:rsidRDefault="0069241E" w:rsidP="008D7EBE">
      <w:pPr>
        <w:pStyle w:val="NormalWeb"/>
        <w:numPr>
          <w:ilvl w:val="0"/>
          <w:numId w:val="9"/>
        </w:numPr>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lang w:eastAsia="en-US"/>
        </w:rPr>
        <w:t>Accounting methodologies and safeguards</w:t>
      </w:r>
      <w:r w:rsidRPr="757B3ABD">
        <w:rPr>
          <w:rFonts w:ascii="Open Sans" w:eastAsia="Calibri" w:hAnsi="Open Sans" w:cs="Open Sans"/>
          <w:color w:val="595959" w:themeColor="text1" w:themeTint="A6"/>
          <w:sz w:val="20"/>
          <w:szCs w:val="20"/>
          <w:lang w:eastAsia="en-US"/>
        </w:rPr>
        <w:t>, which prevent over-claiming and require alignment between BCUs and inventory boundaries (Section 9.2).</w:t>
      </w:r>
    </w:p>
    <w:p w14:paraId="69801A1F" w14:textId="77777777" w:rsidR="0069241E" w:rsidRPr="004A61C3" w:rsidRDefault="0069241E" w:rsidP="008D7EBE">
      <w:pPr>
        <w:pStyle w:val="NormalWeb"/>
        <w:numPr>
          <w:ilvl w:val="0"/>
          <w:numId w:val="9"/>
        </w:numPr>
        <w:spacing w:before="0" w:beforeAutospacing="0" w:after="0" w:afterAutospacing="0"/>
        <w:rPr>
          <w:rFonts w:ascii="Open Sans" w:eastAsia="Calibri" w:hAnsi="Open Sans" w:cs="Open Sans"/>
          <w:color w:val="595959" w:themeColor="text1" w:themeTint="A6"/>
          <w:sz w:val="20"/>
          <w:szCs w:val="20"/>
          <w:lang w:eastAsia="en-US"/>
        </w:rPr>
      </w:pPr>
      <w:r w:rsidRPr="757B3ABD">
        <w:rPr>
          <w:rFonts w:ascii="Open Sans" w:eastAsia="Calibri" w:hAnsi="Open Sans" w:cs="Open Sans"/>
          <w:b/>
          <w:color w:val="595959" w:themeColor="text1" w:themeTint="A6"/>
          <w:sz w:val="20"/>
          <w:szCs w:val="20"/>
          <w:lang w:eastAsia="en-US"/>
        </w:rPr>
        <w:t>Separate reporting and disclosure</w:t>
      </w:r>
      <w:r w:rsidRPr="757B3ABD">
        <w:rPr>
          <w:rFonts w:ascii="Open Sans" w:eastAsia="Calibri" w:hAnsi="Open Sans" w:cs="Open Sans"/>
          <w:color w:val="595959" w:themeColor="text1" w:themeTint="A6"/>
          <w:sz w:val="20"/>
          <w:szCs w:val="20"/>
          <w:lang w:eastAsia="en-US"/>
        </w:rPr>
        <w:t>, which distinguish physical emissions from market-based adjustments (Section 9.3).</w:t>
      </w:r>
    </w:p>
    <w:p w14:paraId="7276F572" w14:textId="77777777" w:rsidR="0069241E" w:rsidRPr="004A61C3" w:rsidRDefault="0069241E" w:rsidP="0069241E">
      <w:pPr>
        <w:pStyle w:val="NormalWeb"/>
        <w:spacing w:before="0" w:beforeAutospacing="0" w:after="0" w:afterAutospacing="0"/>
        <w:rPr>
          <w:rFonts w:ascii="Open Sans" w:eastAsia="Calibri" w:hAnsi="Open Sans" w:cs="Open Sans"/>
          <w:b/>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659209F2"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58B2FC9D"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9.1 Allowable Claims and Requirements</w:t>
            </w:r>
          </w:p>
        </w:tc>
      </w:tr>
      <w:tr w:rsidR="0069241E" w:rsidRPr="00F9616D" w14:paraId="435C660D"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E946CDF"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BCUs may be applied within corporate inventories only under defined conditions.</w:t>
            </w:r>
          </w:p>
          <w:p w14:paraId="0F216654" w14:textId="7C2CF559" w:rsidR="0069241E" w:rsidRPr="004A61C3" w:rsidRDefault="0069241E" w:rsidP="008D7EBE">
            <w:pPr>
              <w:pStyle w:val="ListParagraph"/>
              <w:numPr>
                <w:ilvl w:val="0"/>
                <w:numId w:val="37"/>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BCUs shall be applied solely to emissions associated with iron or steel use</w:t>
            </w:r>
            <w:r w:rsidR="3518CAAB" w:rsidRPr="757B3ABD">
              <w:rPr>
                <w:rFonts w:ascii="Open Sans" w:eastAsia="Calibri" w:hAnsi="Open Sans" w:cs="Open Sans"/>
                <w:color w:val="595959" w:themeColor="text1" w:themeTint="A6"/>
                <w:sz w:val="20"/>
                <w:szCs w:val="20"/>
              </w:rPr>
              <w:t xml:space="preserve"> in corporate emissions inventory</w:t>
            </w:r>
            <w:r w:rsidRPr="004A61C3">
              <w:rPr>
                <w:rFonts w:ascii="Open Sans" w:eastAsia="Calibri" w:hAnsi="Open Sans" w:cs="Open Sans"/>
                <w:color w:val="595959" w:themeColor="text1" w:themeTint="A6"/>
                <w:sz w:val="20"/>
                <w:szCs w:val="20"/>
              </w:rPr>
              <w:t>.</w:t>
            </w:r>
          </w:p>
          <w:p w14:paraId="0F5F6AA7" w14:textId="77777777" w:rsidR="0069241E" w:rsidRPr="004A61C3" w:rsidRDefault="0069241E" w:rsidP="008D7EBE">
            <w:pPr>
              <w:pStyle w:val="ListParagraph"/>
              <w:numPr>
                <w:ilvl w:val="0"/>
                <w:numId w:val="37"/>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Claims shall align with inventory boundaries and retired volumes.</w:t>
            </w:r>
          </w:p>
          <w:p w14:paraId="5A8B3CBE" w14:textId="77777777" w:rsidR="0069241E" w:rsidRPr="004A61C3" w:rsidRDefault="0069241E" w:rsidP="008D7EBE">
            <w:pPr>
              <w:pStyle w:val="ListParagraph"/>
              <w:numPr>
                <w:ilvl w:val="0"/>
                <w:numId w:val="37"/>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BCUs shall not alter product-level carbon footprints or support on-product environmental claims outside approved co-claim structures.</w:t>
            </w:r>
          </w:p>
          <w:p w14:paraId="2AA62815" w14:textId="714FD73D" w:rsidR="0069241E" w:rsidRPr="004A61C3" w:rsidRDefault="0069241E" w:rsidP="008D7EBE">
            <w:pPr>
              <w:pStyle w:val="ListParagraph"/>
              <w:numPr>
                <w:ilvl w:val="0"/>
                <w:numId w:val="37"/>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Application against spend-based inventories should be avoided where activity-based data </w:t>
            </w:r>
            <w:r w:rsidR="2379F2B1" w:rsidRPr="757B3ABD">
              <w:rPr>
                <w:rFonts w:ascii="Open Sans" w:eastAsia="Calibri" w:hAnsi="Open Sans" w:cs="Open Sans"/>
                <w:color w:val="595959" w:themeColor="text1" w:themeTint="A6"/>
                <w:sz w:val="20"/>
                <w:szCs w:val="20"/>
              </w:rPr>
              <w:t>is</w:t>
            </w:r>
            <w:r w:rsidRPr="004A61C3">
              <w:rPr>
                <w:rFonts w:ascii="Open Sans" w:eastAsia="Calibri" w:hAnsi="Open Sans" w:cs="Open Sans"/>
                <w:color w:val="595959" w:themeColor="text1" w:themeTint="A6"/>
                <w:sz w:val="20"/>
                <w:szCs w:val="20"/>
              </w:rPr>
              <w:t xml:space="preserve"> available.</w:t>
            </w:r>
          </w:p>
        </w:tc>
      </w:tr>
      <w:tr w:rsidR="0069241E" w:rsidRPr="00F9616D" w14:paraId="79C5E682"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AC3D1F2"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55A06DB"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Inventory Estimation Capacity:</w:t>
            </w:r>
            <w:r w:rsidRPr="004A61C3">
              <w:rPr>
                <w:rFonts w:ascii="Open Sans" w:eastAsia="Helvetica" w:hAnsi="Open Sans" w:cs="Open Sans"/>
                <w:color w:val="595959" w:themeColor="text1" w:themeTint="A6"/>
                <w:sz w:val="20"/>
                <w:szCs w:val="20"/>
              </w:rPr>
              <w:t xml:space="preserve"> To what extent are you able to estimate steel use using physical or activity-based data instead of spend-based (EEIO) methods? What constraints do you face?</w:t>
            </w:r>
          </w:p>
        </w:tc>
      </w:tr>
      <w:tr w:rsidR="0069241E" w:rsidRPr="00F9616D" w14:paraId="0121DDF4" w14:textId="77777777" w:rsidTr="757B3ABD">
        <w:trPr>
          <w:trHeight w:val="720"/>
        </w:trPr>
        <w:tc>
          <w:tcPr>
            <w:tcW w:w="428" w:type="dxa"/>
            <w:vMerge/>
            <w:vAlign w:val="center"/>
          </w:tcPr>
          <w:p w14:paraId="3828F918"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6E8EEE7"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3496611C"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0B4C7871"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FB52D45" w14:textId="77777777" w:rsidR="0069241E" w:rsidRPr="004A61C3" w:rsidRDefault="0069241E">
            <w:pPr>
              <w:spacing w:before="240" w:after="240"/>
              <w:rPr>
                <w:rFonts w:ascii="Open Sans" w:eastAsia="Times New Roman" w:hAnsi="Open Sans" w:cs="Open Sans"/>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Iron Content Disaggregation:</w:t>
            </w:r>
            <w:r w:rsidRPr="004A61C3">
              <w:rPr>
                <w:rFonts w:ascii="Open Sans" w:eastAsia="Times New Roman" w:hAnsi="Open Sans" w:cs="Open Sans"/>
                <w:color w:val="595959" w:themeColor="text1" w:themeTint="A6"/>
                <w:sz w:val="20"/>
                <w:szCs w:val="20"/>
                <w:lang w:val="en-GB"/>
              </w:rPr>
              <w:t xml:space="preserve"> What practical challenges do you encounter when disaggregating iron content within your steel inventory (e.g., data availability, supplier engagement, methodological complexity)?</w:t>
            </w:r>
          </w:p>
        </w:tc>
      </w:tr>
      <w:tr w:rsidR="0069241E" w:rsidRPr="00F9616D" w14:paraId="3F4296BA" w14:textId="77777777" w:rsidTr="757B3ABD">
        <w:trPr>
          <w:trHeight w:val="720"/>
        </w:trPr>
        <w:tc>
          <w:tcPr>
            <w:tcW w:w="428" w:type="dxa"/>
            <w:vMerge/>
            <w:vAlign w:val="center"/>
          </w:tcPr>
          <w:p w14:paraId="08183160"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32AE291"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5A79BBBC"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89D28AF" w14:textId="77777777"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lastRenderedPageBreak/>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02EB244"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Application of Iron BCUs: </w:t>
            </w:r>
            <w:r w:rsidRPr="004A61C3">
              <w:rPr>
                <w:rFonts w:ascii="Open Sans" w:eastAsia="Times New Roman" w:hAnsi="Open Sans" w:cs="Open Sans"/>
                <w:color w:val="595959" w:themeColor="text1" w:themeTint="A6"/>
                <w:sz w:val="20"/>
                <w:szCs w:val="20"/>
                <w:lang w:val="en-GB"/>
              </w:rPr>
              <w:t>How do you view applying iron BCUs to full steel inventories, considering the significant climate impacts associated with iron production?</w:t>
            </w:r>
          </w:p>
        </w:tc>
      </w:tr>
      <w:tr w:rsidR="0069241E" w:rsidRPr="00F9616D" w14:paraId="3EC96DC8" w14:textId="77777777" w:rsidTr="757B3ABD">
        <w:trPr>
          <w:trHeight w:val="720"/>
        </w:trPr>
        <w:tc>
          <w:tcPr>
            <w:tcW w:w="428" w:type="dxa"/>
            <w:vMerge/>
            <w:vAlign w:val="center"/>
          </w:tcPr>
          <w:p w14:paraId="0B23FDC2"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vAlign w:val="center"/>
          </w:tcPr>
          <w:p w14:paraId="7ECAA283"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1C65A8A6" w14:textId="77777777" w:rsidTr="005842DD">
        <w:trPr>
          <w:trHeight w:val="720"/>
        </w:trPr>
        <w:tc>
          <w:tcPr>
            <w:tcW w:w="428" w:type="dxa"/>
            <w:vMerge w:val="restart"/>
            <w:tcBorders>
              <w:top w:val="single" w:sz="4" w:space="0" w:color="auto"/>
              <w:left w:val="single" w:sz="4" w:space="0" w:color="595959" w:themeColor="text1" w:themeTint="A6"/>
              <w:right w:val="single" w:sz="4" w:space="0" w:color="595959" w:themeColor="text1" w:themeTint="A6"/>
            </w:tcBorders>
            <w:vAlign w:val="center"/>
          </w:tcPr>
          <w:p w14:paraId="5085649A" w14:textId="77777777" w:rsidR="0069241E" w:rsidRPr="004A61C3" w:rsidRDefault="0069241E" w:rsidP="00AE2C1A">
            <w:pPr>
              <w:rPr>
                <w:rFonts w:ascii="Open Sans" w:hAnsi="Open Sans" w:cs="Open Sans"/>
                <w:b/>
                <w:sz w:val="20"/>
                <w:szCs w:val="20"/>
              </w:rPr>
            </w:pPr>
            <w:r w:rsidRPr="004A61C3">
              <w:rPr>
                <w:rFonts w:ascii="Open Sans" w:hAnsi="Open Sans" w:cs="Open Sans"/>
                <w:b/>
                <w:sz w:val="20"/>
                <w:szCs w:val="20"/>
              </w:rPr>
              <w:t>4</w:t>
            </w:r>
          </w:p>
        </w:tc>
        <w:tc>
          <w:tcPr>
            <w:tcW w:w="12501" w:type="dxa"/>
            <w:tcBorders>
              <w:top w:val="single" w:sz="4" w:space="0" w:color="auto"/>
              <w:left w:val="single" w:sz="4" w:space="0" w:color="595959" w:themeColor="text1" w:themeTint="A6"/>
              <w:bottom w:val="single" w:sz="4" w:space="0" w:color="595959" w:themeColor="text1" w:themeTint="A6"/>
              <w:right w:val="single" w:sz="4" w:space="0" w:color="595959" w:themeColor="text1" w:themeTint="A6"/>
            </w:tcBorders>
            <w:vAlign w:val="center"/>
          </w:tcPr>
          <w:p w14:paraId="287144B5" w14:textId="7210A229" w:rsidR="0069241E" w:rsidRPr="004A61C3" w:rsidRDefault="0069241E">
            <w:pPr>
              <w:rPr>
                <w:rFonts w:ascii="Open Sans" w:eastAsia="Open Sans" w:hAnsi="Open Sans" w:cs="Open Sans"/>
                <w:color w:val="595959" w:themeColor="text1" w:themeTint="A6"/>
                <w:sz w:val="20"/>
                <w:szCs w:val="20"/>
                <w:lang w:val="en-GB"/>
              </w:rPr>
            </w:pPr>
            <w:r w:rsidRPr="757B3ABD">
              <w:rPr>
                <w:rFonts w:ascii="Open Sans" w:eastAsia="Times New Roman" w:hAnsi="Open Sans" w:cs="Open Sans"/>
                <w:b/>
                <w:bCs/>
                <w:color w:val="595959" w:themeColor="text1" w:themeTint="A6"/>
                <w:sz w:val="20"/>
                <w:szCs w:val="20"/>
                <w:lang w:val="en-GB"/>
              </w:rPr>
              <w:t xml:space="preserve">Clarity of Allowable Claims: </w:t>
            </w:r>
            <w:r w:rsidR="41A2DD83" w:rsidRPr="757B3ABD">
              <w:rPr>
                <w:rFonts w:ascii="Open Sans" w:eastAsia="Times New Roman" w:hAnsi="Open Sans" w:cs="Open Sans"/>
                <w:color w:val="595959" w:themeColor="text1" w:themeTint="A6"/>
                <w:sz w:val="20"/>
                <w:szCs w:val="20"/>
                <w:lang w:val="en-GB"/>
              </w:rPr>
              <w:t xml:space="preserve">What do you think about restricting steelmakers to claim, co-claim, or transfer iron EACs? </w:t>
            </w:r>
            <w:r w:rsidR="40A5E7F9" w:rsidRPr="757B3ABD">
              <w:rPr>
                <w:rFonts w:ascii="Open Sans" w:eastAsia="Open Sans" w:hAnsi="Open Sans" w:cs="Open Sans"/>
                <w:color w:val="595959" w:themeColor="text1" w:themeTint="A6"/>
                <w:sz w:val="20"/>
                <w:szCs w:val="20"/>
                <w:lang w:val="en-GB"/>
              </w:rPr>
              <w:t>What practical use cases would justify allowing such claims</w:t>
            </w:r>
            <w:r w:rsidR="006233DF">
              <w:rPr>
                <w:rFonts w:ascii="Open Sans" w:eastAsia="Open Sans" w:hAnsi="Open Sans" w:cs="Open Sans"/>
                <w:color w:val="595959" w:themeColor="text1" w:themeTint="A6"/>
                <w:sz w:val="20"/>
                <w:szCs w:val="20"/>
                <w:lang w:val="en-GB"/>
              </w:rPr>
              <w:t xml:space="preserve">, and </w:t>
            </w:r>
            <w:r w:rsidR="40A5E7F9" w:rsidRPr="757B3ABD">
              <w:rPr>
                <w:rFonts w:ascii="Open Sans" w:eastAsia="Open Sans" w:hAnsi="Open Sans" w:cs="Open Sans"/>
                <w:color w:val="595959" w:themeColor="text1" w:themeTint="A6"/>
                <w:sz w:val="20"/>
                <w:szCs w:val="20"/>
                <w:lang w:val="en-GB"/>
              </w:rPr>
              <w:t xml:space="preserve">what sourcing or procurement challenges could </w:t>
            </w:r>
            <w:proofErr w:type="gramStart"/>
            <w:r w:rsidR="002C1640" w:rsidRPr="757B3ABD">
              <w:rPr>
                <w:rFonts w:ascii="Open Sans" w:eastAsia="Open Sans" w:hAnsi="Open Sans" w:cs="Open Sans"/>
                <w:color w:val="595959" w:themeColor="text1" w:themeTint="A6"/>
                <w:sz w:val="20"/>
                <w:szCs w:val="20"/>
                <w:lang w:val="en-GB"/>
              </w:rPr>
              <w:t>allow</w:t>
            </w:r>
            <w:r w:rsidR="006233DF">
              <w:rPr>
                <w:rFonts w:ascii="Open Sans" w:eastAsia="Open Sans" w:hAnsi="Open Sans" w:cs="Open Sans"/>
                <w:color w:val="595959" w:themeColor="text1" w:themeTint="A6"/>
                <w:sz w:val="20"/>
                <w:szCs w:val="20"/>
                <w:lang w:val="en-GB"/>
              </w:rPr>
              <w:t>ing</w:t>
            </w:r>
            <w:proofErr w:type="gramEnd"/>
            <w:r w:rsidR="40A5E7F9" w:rsidRPr="757B3ABD">
              <w:rPr>
                <w:rFonts w:ascii="Open Sans" w:eastAsia="Open Sans" w:hAnsi="Open Sans" w:cs="Open Sans"/>
                <w:color w:val="595959" w:themeColor="text1" w:themeTint="A6"/>
                <w:sz w:val="20"/>
                <w:szCs w:val="20"/>
                <w:lang w:val="en-GB"/>
              </w:rPr>
              <w:t xml:space="preserve"> such claims help address?</w:t>
            </w:r>
          </w:p>
        </w:tc>
      </w:tr>
      <w:tr w:rsidR="0069241E" w:rsidRPr="00F9616D" w14:paraId="2E63B231" w14:textId="77777777" w:rsidTr="757B3ABD">
        <w:trPr>
          <w:trHeight w:val="720"/>
        </w:trPr>
        <w:tc>
          <w:tcPr>
            <w:tcW w:w="428" w:type="dxa"/>
            <w:vMerge/>
            <w:vAlign w:val="center"/>
          </w:tcPr>
          <w:p w14:paraId="0303BA6E" w14:textId="77777777" w:rsidR="0069241E" w:rsidRPr="004A61C3" w:rsidRDefault="0069241E" w:rsidP="00AE2C1A">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auto"/>
              <w:right w:val="single" w:sz="4" w:space="0" w:color="595959" w:themeColor="text1" w:themeTint="A6"/>
            </w:tcBorders>
            <w:vAlign w:val="center"/>
          </w:tcPr>
          <w:p w14:paraId="4113C46F" w14:textId="77777777" w:rsidR="0069241E" w:rsidRPr="004A61C3" w:rsidRDefault="0069241E">
            <w:pPr>
              <w:rPr>
                <w:rFonts w:ascii="Open Sans" w:eastAsia="Times New Roman" w:hAnsi="Open Sans" w:cs="Open Sans"/>
                <w:b/>
                <w:color w:val="17406D" w:themeColor="text2"/>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61DBEE54" w14:textId="77777777" w:rsidTr="005842DD">
        <w:trPr>
          <w:trHeight w:val="720"/>
        </w:trPr>
        <w:tc>
          <w:tcPr>
            <w:tcW w:w="428" w:type="dxa"/>
            <w:vMerge w:val="restart"/>
            <w:tcBorders>
              <w:top w:val="single" w:sz="4" w:space="0" w:color="auto"/>
              <w:left w:val="single" w:sz="4" w:space="0" w:color="595959" w:themeColor="text1" w:themeTint="A6"/>
              <w:right w:val="single" w:sz="4" w:space="0" w:color="595959" w:themeColor="text1" w:themeTint="A6"/>
            </w:tcBorders>
            <w:vAlign w:val="center"/>
          </w:tcPr>
          <w:p w14:paraId="41B7C071" w14:textId="77777777" w:rsidR="0069241E" w:rsidRPr="004A61C3" w:rsidRDefault="0069241E" w:rsidP="00AE2C1A">
            <w:pPr>
              <w:rPr>
                <w:rFonts w:ascii="Open Sans" w:hAnsi="Open Sans" w:cs="Open Sans"/>
                <w:b/>
                <w:sz w:val="20"/>
                <w:szCs w:val="20"/>
              </w:rPr>
            </w:pPr>
            <w:r w:rsidRPr="004A61C3">
              <w:rPr>
                <w:rFonts w:ascii="Open Sans" w:hAnsi="Open Sans" w:cs="Open Sans"/>
                <w:b/>
                <w:sz w:val="20"/>
                <w:szCs w:val="20"/>
              </w:rPr>
              <w:t>5</w:t>
            </w:r>
          </w:p>
        </w:tc>
        <w:tc>
          <w:tcPr>
            <w:tcW w:w="12501" w:type="dxa"/>
            <w:tcBorders>
              <w:top w:val="single" w:sz="4" w:space="0" w:color="auto"/>
              <w:left w:val="single" w:sz="4" w:space="0" w:color="595959" w:themeColor="text1" w:themeTint="A6"/>
              <w:bottom w:val="single" w:sz="4" w:space="0" w:color="595959" w:themeColor="text1" w:themeTint="A6"/>
              <w:right w:val="single" w:sz="4" w:space="0" w:color="595959" w:themeColor="text1" w:themeTint="A6"/>
            </w:tcBorders>
            <w:vAlign w:val="center"/>
          </w:tcPr>
          <w:p w14:paraId="415E8332" w14:textId="77777777" w:rsidR="0069241E" w:rsidRPr="004A61C3" w:rsidRDefault="0069241E">
            <w:pPr>
              <w:rPr>
                <w:rFonts w:ascii="Open Sans" w:eastAsia="Times New Roman" w:hAnsi="Open Sans" w:cs="Open Sans"/>
                <w:b/>
                <w:color w:val="595959" w:themeColor="text1" w:themeTint="A6"/>
                <w:sz w:val="20"/>
                <w:szCs w:val="20"/>
                <w:lang w:val="en-GB"/>
              </w:rPr>
            </w:pPr>
            <w:r w:rsidRPr="757B3ABD">
              <w:rPr>
                <w:rFonts w:ascii="Open Sans" w:eastAsia="Times New Roman" w:hAnsi="Open Sans" w:cs="Open Sans"/>
                <w:b/>
                <w:color w:val="595959" w:themeColor="text1" w:themeTint="A6"/>
                <w:sz w:val="20"/>
                <w:szCs w:val="20"/>
                <w:lang w:val="en-GB"/>
              </w:rPr>
              <w:t xml:space="preserve">Greenwashing Safeguards: </w:t>
            </w:r>
            <w:r w:rsidRPr="757B3ABD">
              <w:rPr>
                <w:rFonts w:ascii="Open Sans" w:eastAsia="Times New Roman" w:hAnsi="Open Sans" w:cs="Open Sans"/>
                <w:color w:val="595959" w:themeColor="text1" w:themeTint="A6"/>
                <w:sz w:val="20"/>
                <w:szCs w:val="20"/>
                <w:lang w:val="en-GB"/>
              </w:rPr>
              <w:t>What additional guidance should the framework provide to help buyers make BCU-related claims that minimize greenwashing risks?</w:t>
            </w:r>
          </w:p>
        </w:tc>
      </w:tr>
      <w:tr w:rsidR="0069241E" w:rsidRPr="00F9616D" w14:paraId="7E55DCCB" w14:textId="77777777" w:rsidTr="757B3ABD">
        <w:trPr>
          <w:trHeight w:val="720"/>
        </w:trPr>
        <w:tc>
          <w:tcPr>
            <w:tcW w:w="428" w:type="dxa"/>
            <w:vMerge/>
            <w:vAlign w:val="center"/>
          </w:tcPr>
          <w:p w14:paraId="4D52EC33" w14:textId="77777777" w:rsidR="0069241E" w:rsidRPr="004A61C3" w:rsidRDefault="0069241E" w:rsidP="00AE2C1A">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13C38A6" w14:textId="77777777" w:rsidR="0069241E" w:rsidRPr="004A61C3" w:rsidRDefault="0069241E">
            <w:pPr>
              <w:rPr>
                <w:rFonts w:ascii="Open Sans" w:eastAsia="Times New Roman" w:hAnsi="Open Sans" w:cs="Open Sans"/>
                <w:b/>
                <w:color w:val="17406D" w:themeColor="text2"/>
                <w:sz w:val="20"/>
                <w:szCs w:val="20"/>
                <w:lang w:val="en-GB"/>
              </w:rPr>
            </w:pPr>
            <w:r w:rsidRPr="004A61C3">
              <w:rPr>
                <w:rFonts w:ascii="Open Sans" w:eastAsia="Times New Roman" w:hAnsi="Open Sans" w:cs="Open Sans"/>
                <w:b/>
                <w:color w:val="17406D" w:themeColor="text2"/>
                <w:sz w:val="20"/>
                <w:szCs w:val="20"/>
                <w:lang w:val="en-GB"/>
              </w:rPr>
              <w:t>Answer:</w:t>
            </w:r>
          </w:p>
        </w:tc>
      </w:tr>
    </w:tbl>
    <w:p w14:paraId="3F044332" w14:textId="77777777" w:rsidR="0069241E" w:rsidRPr="004A61C3"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12031A0A"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2192A650"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9.2 Claim Accounting Method</w:t>
            </w:r>
          </w:p>
        </w:tc>
      </w:tr>
      <w:tr w:rsidR="0069241E" w:rsidRPr="00F9616D" w14:paraId="1374DD6E"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C0AB658"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Defined accounting approaches govern how BCUs may be applied in inventories.</w:t>
            </w:r>
          </w:p>
          <w:p w14:paraId="62021719" w14:textId="77777777" w:rsidR="0069241E" w:rsidRPr="004A61C3" w:rsidRDefault="0069241E" w:rsidP="008D7EBE">
            <w:pPr>
              <w:pStyle w:val="ListParagraph"/>
              <w:numPr>
                <w:ilvl w:val="0"/>
                <w:numId w:val="3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Permitted approaches include direct substitution, enhanced substitution, and limited spend-based methods where justified.</w:t>
            </w:r>
          </w:p>
          <w:p w14:paraId="053CFEB7" w14:textId="77777777" w:rsidR="0069241E" w:rsidRPr="004A61C3" w:rsidRDefault="0069241E" w:rsidP="008D7EBE">
            <w:pPr>
              <w:pStyle w:val="ListParagraph"/>
              <w:numPr>
                <w:ilvl w:val="0"/>
                <w:numId w:val="3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The selected method shall align with inventory boundaries and data quality.</w:t>
            </w:r>
          </w:p>
          <w:p w14:paraId="100463C9" w14:textId="77777777" w:rsidR="0069241E" w:rsidRPr="004A61C3" w:rsidRDefault="0069241E" w:rsidP="008D7EBE">
            <w:pPr>
              <w:pStyle w:val="ListParagraph"/>
              <w:numPr>
                <w:ilvl w:val="0"/>
                <w:numId w:val="38"/>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Application shall not result in over-claiming or exceed total steel-related emissions within the reporting boundary.</w:t>
            </w:r>
          </w:p>
        </w:tc>
      </w:tr>
      <w:tr w:rsidR="0069241E" w:rsidRPr="00F9616D" w14:paraId="69D8B904"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55F7C69"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B348B81"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Adequacy of Accounting Approaches:</w:t>
            </w:r>
            <w:r w:rsidRPr="004A61C3">
              <w:rPr>
                <w:rFonts w:ascii="Open Sans" w:eastAsia="Helvetica" w:hAnsi="Open Sans" w:cs="Open Sans"/>
                <w:color w:val="595959" w:themeColor="text1" w:themeTint="A6"/>
                <w:sz w:val="20"/>
                <w:szCs w:val="20"/>
              </w:rPr>
              <w:t xml:space="preserve"> Do the proposed approaches (direct substitution, enhanced substitution, and spend-based methods) adequately cover the primary ways companies may apply market-based mechanisms to iron and steel emissions inventories? If not, what refinements should be considered?</w:t>
            </w:r>
          </w:p>
        </w:tc>
      </w:tr>
      <w:tr w:rsidR="0069241E" w:rsidRPr="00F9616D" w14:paraId="3C7C8EBC"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3A3EB089"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20748B2"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56DF9625"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117C935F"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lastRenderedPageBreak/>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32E6B84"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Criteria for Method Selection: </w:t>
            </w:r>
            <w:r w:rsidRPr="004A61C3">
              <w:rPr>
                <w:rFonts w:ascii="Open Sans" w:eastAsia="Times New Roman" w:hAnsi="Open Sans" w:cs="Open Sans"/>
                <w:color w:val="595959" w:themeColor="text1" w:themeTint="A6"/>
                <w:sz w:val="20"/>
                <w:szCs w:val="20"/>
                <w:lang w:val="en-GB"/>
              </w:rPr>
              <w:t>Are the proposed criteria for selecting an accounting approach (inventory alignment, data availability and quality, and consistency of emissions measurement assumptions) sufficient and clear? Are additional factors needed?</w:t>
            </w:r>
          </w:p>
        </w:tc>
      </w:tr>
      <w:tr w:rsidR="0069241E" w:rsidRPr="00F9616D" w14:paraId="7C6FA15A"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5A8FF88F"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3F6E19"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73DC7816"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18DE597" w14:textId="77777777"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BADC147" w14:textId="262E2ED9"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Total Emissions Cap Option: </w:t>
            </w:r>
            <w:r w:rsidRPr="004A61C3">
              <w:rPr>
                <w:rFonts w:ascii="Open Sans" w:eastAsia="Times New Roman" w:hAnsi="Open Sans" w:cs="Open Sans"/>
                <w:color w:val="595959" w:themeColor="text1" w:themeTint="A6"/>
                <w:sz w:val="20"/>
                <w:szCs w:val="20"/>
                <w:lang w:val="en-GB"/>
              </w:rPr>
              <w:t xml:space="preserve">Should the </w:t>
            </w:r>
            <w:r w:rsidR="00222004">
              <w:rPr>
                <w:rFonts w:ascii="Open Sans" w:eastAsia="Times New Roman" w:hAnsi="Open Sans" w:cs="Open Sans"/>
                <w:color w:val="595959" w:themeColor="text1" w:themeTint="A6"/>
                <w:sz w:val="20"/>
                <w:szCs w:val="20"/>
                <w:lang w:val="en-GB"/>
              </w:rPr>
              <w:t>t</w:t>
            </w:r>
            <w:r w:rsidRPr="004A61C3">
              <w:rPr>
                <w:rFonts w:ascii="Open Sans" w:eastAsia="Times New Roman" w:hAnsi="Open Sans" w:cs="Open Sans"/>
                <w:color w:val="595959" w:themeColor="text1" w:themeTint="A6"/>
                <w:sz w:val="20"/>
                <w:szCs w:val="20"/>
                <w:lang w:val="en-GB"/>
              </w:rPr>
              <w:t xml:space="preserve">otal </w:t>
            </w:r>
            <w:r w:rsidR="00222004">
              <w:rPr>
                <w:rFonts w:ascii="Open Sans" w:eastAsia="Times New Roman" w:hAnsi="Open Sans" w:cs="Open Sans"/>
                <w:color w:val="595959" w:themeColor="text1" w:themeTint="A6"/>
                <w:sz w:val="20"/>
                <w:szCs w:val="20"/>
                <w:lang w:val="en-GB"/>
              </w:rPr>
              <w:t>e</w:t>
            </w:r>
            <w:r w:rsidRPr="004A61C3">
              <w:rPr>
                <w:rFonts w:ascii="Open Sans" w:eastAsia="Times New Roman" w:hAnsi="Open Sans" w:cs="Open Sans"/>
                <w:color w:val="595959" w:themeColor="text1" w:themeTint="A6"/>
                <w:sz w:val="20"/>
                <w:szCs w:val="20"/>
                <w:lang w:val="en-GB"/>
              </w:rPr>
              <w:t xml:space="preserve">missions </w:t>
            </w:r>
            <w:r w:rsidR="00222004">
              <w:rPr>
                <w:rFonts w:ascii="Open Sans" w:eastAsia="Times New Roman" w:hAnsi="Open Sans" w:cs="Open Sans"/>
                <w:color w:val="595959" w:themeColor="text1" w:themeTint="A6"/>
                <w:sz w:val="20"/>
                <w:szCs w:val="20"/>
                <w:lang w:val="en-GB"/>
              </w:rPr>
              <w:t>c</w:t>
            </w:r>
            <w:r w:rsidRPr="004A61C3">
              <w:rPr>
                <w:rFonts w:ascii="Open Sans" w:eastAsia="Times New Roman" w:hAnsi="Open Sans" w:cs="Open Sans"/>
                <w:color w:val="595959" w:themeColor="text1" w:themeTint="A6"/>
                <w:sz w:val="20"/>
                <w:szCs w:val="20"/>
                <w:lang w:val="en-GB"/>
              </w:rPr>
              <w:t>ap option (allowing buyers to zero out their steel-related emissions) be permitted?</w:t>
            </w:r>
          </w:p>
        </w:tc>
      </w:tr>
      <w:tr w:rsidR="0069241E" w:rsidRPr="00F9616D" w14:paraId="0D67433D"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6BF7E624"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044E08D"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4D8B2F9C" w14:textId="77777777" w:rsidR="0069241E" w:rsidRPr="004A61C3"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0DBAE270"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6FAE5334" w14:textId="77777777"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9.3 Co-claiming Rules and Documentation</w:t>
            </w:r>
          </w:p>
        </w:tc>
      </w:tr>
      <w:tr w:rsidR="0069241E" w:rsidRPr="00F9616D" w14:paraId="660B15C6"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58D8F6B"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Co-claiming is permitted under defined structural and transparency safeguards.</w:t>
            </w:r>
          </w:p>
          <w:p w14:paraId="32C3E692" w14:textId="77777777" w:rsidR="0069241E" w:rsidRPr="004A61C3" w:rsidRDefault="0069241E" w:rsidP="008D7EBE">
            <w:pPr>
              <w:pStyle w:val="ListParagraph"/>
              <w:numPr>
                <w:ilvl w:val="0"/>
                <w:numId w:val="39"/>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Co-claims shall occur only across distinct value-chain layers.</w:t>
            </w:r>
          </w:p>
          <w:p w14:paraId="20713BB1" w14:textId="54C807C8" w:rsidR="0069241E" w:rsidRPr="004A61C3" w:rsidRDefault="0069241E" w:rsidP="008D7EBE">
            <w:pPr>
              <w:pStyle w:val="ListParagraph"/>
              <w:numPr>
                <w:ilvl w:val="0"/>
                <w:numId w:val="39"/>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 xml:space="preserve">The number of co-claims shall be capped at three (3), as defined by the </w:t>
            </w:r>
            <w:r w:rsidR="00AC0E25">
              <w:rPr>
                <w:rFonts w:ascii="Open Sans" w:eastAsia="Calibri" w:hAnsi="Open Sans" w:cs="Open Sans"/>
                <w:color w:val="595959" w:themeColor="text1" w:themeTint="A6"/>
                <w:sz w:val="20"/>
                <w:szCs w:val="20"/>
              </w:rPr>
              <w:t>s</w:t>
            </w:r>
            <w:r w:rsidRPr="004A61C3">
              <w:rPr>
                <w:rFonts w:ascii="Open Sans" w:eastAsia="Calibri" w:hAnsi="Open Sans" w:cs="Open Sans"/>
                <w:color w:val="595959" w:themeColor="text1" w:themeTint="A6"/>
                <w:sz w:val="20"/>
                <w:szCs w:val="20"/>
              </w:rPr>
              <w:t>ystem.</w:t>
            </w:r>
          </w:p>
          <w:p w14:paraId="330BC82C" w14:textId="77777777" w:rsidR="0069241E" w:rsidRPr="004A61C3" w:rsidRDefault="0069241E" w:rsidP="008D7EBE">
            <w:pPr>
              <w:pStyle w:val="ListParagraph"/>
              <w:numPr>
                <w:ilvl w:val="0"/>
                <w:numId w:val="39"/>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All participating entities shall be transparently identified in registry records.</w:t>
            </w:r>
          </w:p>
        </w:tc>
      </w:tr>
      <w:tr w:rsidR="0069241E" w:rsidRPr="00F9616D" w14:paraId="7B61A9C5"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24F4C4F"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72F4472" w14:textId="031CFC54" w:rsidR="0069241E" w:rsidRPr="004A61C3" w:rsidRDefault="0069241E">
            <w:pPr>
              <w:spacing w:before="240" w:after="240"/>
              <w:rPr>
                <w:rFonts w:ascii="Open Sans" w:eastAsia="Helvetica" w:hAnsi="Open Sans" w:cs="Open Sans"/>
                <w:b/>
                <w:color w:val="595959" w:themeColor="text1" w:themeTint="A6"/>
                <w:sz w:val="20"/>
                <w:szCs w:val="20"/>
              </w:rPr>
            </w:pPr>
            <w:r w:rsidRPr="004A61C3">
              <w:rPr>
                <w:rFonts w:ascii="Open Sans" w:eastAsia="Helvetica" w:hAnsi="Open Sans" w:cs="Open Sans"/>
                <w:b/>
                <w:color w:val="595959" w:themeColor="text1" w:themeTint="A6"/>
                <w:sz w:val="20"/>
                <w:szCs w:val="20"/>
              </w:rPr>
              <w:t xml:space="preserve">Layer-Based Limitation: </w:t>
            </w:r>
            <w:r w:rsidRPr="004A61C3">
              <w:rPr>
                <w:rFonts w:ascii="Open Sans" w:eastAsia="Helvetica" w:hAnsi="Open Sans" w:cs="Open Sans"/>
                <w:color w:val="595959" w:themeColor="text1" w:themeTint="A6"/>
                <w:sz w:val="20"/>
                <w:szCs w:val="20"/>
              </w:rPr>
              <w:t xml:space="preserve">Do you agree that limiting co-claiming to entities operating in different layers of the same end-use value chain are effective ways to reduce double-counting risk? </w:t>
            </w:r>
            <w:r w:rsidRPr="757B3ABD">
              <w:rPr>
                <w:rFonts w:ascii="Open Sans" w:eastAsia="Helvetica" w:hAnsi="Open Sans" w:cs="Open Sans"/>
                <w:color w:val="595959" w:themeColor="text1" w:themeTint="A6"/>
                <w:sz w:val="20"/>
                <w:szCs w:val="20"/>
              </w:rPr>
              <w:t>Why?</w:t>
            </w:r>
          </w:p>
        </w:tc>
      </w:tr>
      <w:tr w:rsidR="0069241E" w:rsidRPr="00F9616D" w14:paraId="40255575" w14:textId="77777777" w:rsidTr="757B3ABD">
        <w:trPr>
          <w:trHeight w:val="720"/>
        </w:trPr>
        <w:tc>
          <w:tcPr>
            <w:tcW w:w="428" w:type="dxa"/>
            <w:vMerge/>
            <w:vAlign w:val="center"/>
          </w:tcPr>
          <w:p w14:paraId="6CBADB08"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771B478"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07C03EAE"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34C38A0"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E254B22"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Limit on Number of Co-Claims: </w:t>
            </w:r>
            <w:r w:rsidRPr="004A61C3">
              <w:rPr>
                <w:rFonts w:ascii="Open Sans" w:eastAsia="Times New Roman" w:hAnsi="Open Sans" w:cs="Open Sans"/>
                <w:color w:val="595959" w:themeColor="text1" w:themeTint="A6"/>
                <w:sz w:val="20"/>
                <w:szCs w:val="20"/>
                <w:lang w:val="en-GB"/>
              </w:rPr>
              <w:t>What are your thoughts on limiting the number of co-claims to three? Does this provide sufficient flexibility for value chain collaboration?</w:t>
            </w:r>
          </w:p>
        </w:tc>
      </w:tr>
      <w:tr w:rsidR="0069241E" w:rsidRPr="00F9616D" w14:paraId="4C67DE21" w14:textId="77777777" w:rsidTr="757B3ABD">
        <w:trPr>
          <w:trHeight w:val="720"/>
        </w:trPr>
        <w:tc>
          <w:tcPr>
            <w:tcW w:w="428" w:type="dxa"/>
            <w:vMerge/>
            <w:vAlign w:val="center"/>
          </w:tcPr>
          <w:p w14:paraId="75315F31"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21DCDAC"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r w:rsidR="0069241E" w:rsidRPr="00F9616D" w14:paraId="415A8A55"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7C17CFE" w14:textId="77777777" w:rsidR="0069241E" w:rsidRPr="004A61C3" w:rsidRDefault="0069241E" w:rsidP="00AE2C1A">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3</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4E5076B"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Disclosure of End Use: </w:t>
            </w:r>
            <w:r w:rsidRPr="004A61C3">
              <w:rPr>
                <w:rFonts w:ascii="Open Sans" w:eastAsia="Times New Roman" w:hAnsi="Open Sans" w:cs="Open Sans"/>
                <w:color w:val="595959" w:themeColor="text1" w:themeTint="A6"/>
                <w:sz w:val="20"/>
                <w:szCs w:val="20"/>
                <w:lang w:val="en-GB"/>
              </w:rPr>
              <w:t>Do you find it practical to disclose the end use of the physical good or service through registry records and/or contractual agreements? If not, what challenges do you foresee?</w:t>
            </w:r>
          </w:p>
        </w:tc>
      </w:tr>
      <w:tr w:rsidR="0069241E" w:rsidRPr="00F9616D" w14:paraId="23893D9D" w14:textId="77777777" w:rsidTr="757B3ABD">
        <w:trPr>
          <w:trHeight w:val="720"/>
        </w:trPr>
        <w:tc>
          <w:tcPr>
            <w:tcW w:w="428" w:type="dxa"/>
            <w:vMerge/>
            <w:vAlign w:val="center"/>
          </w:tcPr>
          <w:p w14:paraId="4979BF63" w14:textId="77777777" w:rsidR="0069241E" w:rsidRPr="004A61C3" w:rsidRDefault="0069241E">
            <w:pPr>
              <w:rPr>
                <w:rFonts w:ascii="Open Sans" w:hAnsi="Open Sans" w:cs="Open Sans"/>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EB01101"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630D793D" w14:textId="77777777" w:rsidR="0069241E" w:rsidRPr="004A61C3" w:rsidRDefault="0069241E" w:rsidP="0069241E">
      <w:pPr>
        <w:pStyle w:val="NormalWeb"/>
        <w:spacing w:before="0" w:beforeAutospacing="0" w:after="0" w:afterAutospacing="0"/>
        <w:rPr>
          <w:rFonts w:ascii="Open Sans" w:eastAsia="Calibri" w:hAnsi="Open Sans" w:cs="Open Sans"/>
          <w:color w:val="000000" w:themeColor="text1"/>
          <w:sz w:val="20"/>
          <w:szCs w:val="20"/>
          <w:lang w:eastAsia="en-US"/>
        </w:rPr>
      </w:pPr>
    </w:p>
    <w:p w14:paraId="16F104C3" w14:textId="77777777" w:rsidR="0069241E" w:rsidRPr="00764D89" w:rsidRDefault="0069241E" w:rsidP="0069241E">
      <w:pPr>
        <w:rPr>
          <w:rFonts w:ascii="Open Sans" w:eastAsia="Times New Roman" w:hAnsi="Open Sans" w:cs="Open Sans"/>
          <w:b/>
          <w:color w:val="595959"/>
          <w:sz w:val="20"/>
          <w:szCs w:val="20"/>
          <w:u w:val="single"/>
          <w:lang w:val="en-GB"/>
        </w:rPr>
      </w:pPr>
      <w:r w:rsidRPr="00764D89">
        <w:rPr>
          <w:rFonts w:ascii="Open Sans" w:eastAsia="Times New Roman" w:hAnsi="Open Sans" w:cs="Open Sans"/>
          <w:b/>
          <w:color w:val="595959"/>
          <w:sz w:val="20"/>
          <w:szCs w:val="20"/>
          <w:u w:val="single"/>
          <w:lang w:val="en-GB"/>
        </w:rPr>
        <w:t>Section 10 Measures to Prevent Double Counting</w:t>
      </w:r>
    </w:p>
    <w:p w14:paraId="37505A06" w14:textId="18DF7267" w:rsidR="0069241E" w:rsidRPr="004A61C3" w:rsidRDefault="0069241E" w:rsidP="0069241E">
      <w:pPr>
        <w:rPr>
          <w:rFonts w:ascii="Open Sans" w:eastAsia="Times New Roman" w:hAnsi="Open Sans" w:cs="Open Sans"/>
          <w:color w:val="595959"/>
          <w:sz w:val="20"/>
          <w:szCs w:val="20"/>
          <w:lang w:val="en-GB"/>
        </w:rPr>
      </w:pPr>
      <w:r w:rsidRPr="004A61C3">
        <w:rPr>
          <w:rFonts w:ascii="Open Sans" w:eastAsia="Times New Roman" w:hAnsi="Open Sans" w:cs="Open Sans"/>
          <w:color w:val="595959"/>
          <w:sz w:val="20"/>
          <w:szCs w:val="20"/>
          <w:lang w:val="en-GB"/>
        </w:rPr>
        <w:t xml:space="preserve">The following requirements define safeguards to prevent double issuance, double selling, and double claiming of BCUs, ensuring the environmental integrity and credibility of the </w:t>
      </w:r>
      <w:r w:rsidR="000F445E">
        <w:rPr>
          <w:rFonts w:ascii="Open Sans" w:eastAsia="Times New Roman" w:hAnsi="Open Sans" w:cs="Open Sans"/>
          <w:color w:val="595959"/>
          <w:sz w:val="20"/>
          <w:szCs w:val="20"/>
          <w:lang w:val="en-GB"/>
        </w:rPr>
        <w:t>s</w:t>
      </w:r>
      <w:r w:rsidRPr="004A61C3">
        <w:rPr>
          <w:rFonts w:ascii="Open Sans" w:eastAsia="Times New Roman" w:hAnsi="Open Sans" w:cs="Open Sans"/>
          <w:color w:val="595959"/>
          <w:sz w:val="20"/>
          <w:szCs w:val="20"/>
          <w:lang w:val="en-GB"/>
        </w:rPr>
        <w:t>ystem. This guidance establishes two core double-counting prevention principles:</w:t>
      </w:r>
    </w:p>
    <w:p w14:paraId="209A5FF7" w14:textId="4F349EBA" w:rsidR="0069241E" w:rsidRPr="004A61C3" w:rsidRDefault="0069241E" w:rsidP="008D7EBE">
      <w:pPr>
        <w:pStyle w:val="ListParagraph"/>
        <w:numPr>
          <w:ilvl w:val="0"/>
          <w:numId w:val="25"/>
        </w:numPr>
        <w:rPr>
          <w:rFonts w:ascii="Open Sans" w:eastAsia="Times New Roman" w:hAnsi="Open Sans" w:cs="Open Sans"/>
          <w:color w:val="595959"/>
          <w:sz w:val="20"/>
          <w:szCs w:val="20"/>
          <w:lang w:val="en-GB"/>
        </w:rPr>
      </w:pPr>
      <w:r w:rsidRPr="004A61C3">
        <w:rPr>
          <w:rFonts w:ascii="Open Sans" w:eastAsia="Times New Roman" w:hAnsi="Open Sans" w:cs="Open Sans"/>
          <w:b/>
          <w:color w:val="595959"/>
          <w:sz w:val="20"/>
          <w:szCs w:val="20"/>
          <w:lang w:val="en-GB"/>
        </w:rPr>
        <w:t>Issuance and transaction integrity</w:t>
      </w:r>
      <w:r w:rsidRPr="004A61C3">
        <w:rPr>
          <w:rFonts w:ascii="Open Sans" w:eastAsia="Times New Roman" w:hAnsi="Open Sans" w:cs="Open Sans"/>
          <w:color w:val="595959"/>
          <w:sz w:val="20"/>
          <w:szCs w:val="20"/>
          <w:lang w:val="en-GB"/>
        </w:rPr>
        <w:t>, which ensure</w:t>
      </w:r>
      <w:r w:rsidR="006531D5">
        <w:rPr>
          <w:rFonts w:ascii="Open Sans" w:eastAsia="Times New Roman" w:hAnsi="Open Sans" w:cs="Open Sans"/>
          <w:color w:val="595959"/>
          <w:sz w:val="20"/>
          <w:szCs w:val="20"/>
          <w:lang w:val="en-GB"/>
        </w:rPr>
        <w:t>s</w:t>
      </w:r>
      <w:r w:rsidRPr="004A61C3">
        <w:rPr>
          <w:rFonts w:ascii="Open Sans" w:eastAsia="Times New Roman" w:hAnsi="Open Sans" w:cs="Open Sans"/>
          <w:color w:val="595959"/>
          <w:sz w:val="20"/>
          <w:szCs w:val="20"/>
          <w:lang w:val="en-GB"/>
        </w:rPr>
        <w:t xml:space="preserve"> that each BCU is generated, transferred, and retired only once within the </w:t>
      </w:r>
      <w:r w:rsidR="006531D5">
        <w:rPr>
          <w:rFonts w:ascii="Open Sans" w:eastAsia="Times New Roman" w:hAnsi="Open Sans" w:cs="Open Sans"/>
          <w:color w:val="595959"/>
          <w:sz w:val="20"/>
          <w:szCs w:val="20"/>
          <w:lang w:val="en-GB"/>
        </w:rPr>
        <w:t>s</w:t>
      </w:r>
      <w:r w:rsidRPr="004A61C3">
        <w:rPr>
          <w:rFonts w:ascii="Open Sans" w:eastAsia="Times New Roman" w:hAnsi="Open Sans" w:cs="Open Sans"/>
          <w:color w:val="595959"/>
          <w:sz w:val="20"/>
          <w:szCs w:val="20"/>
          <w:lang w:val="en-GB"/>
        </w:rPr>
        <w:t>ystem and is not duplicated across registries or contractual arrangements (Section 10.1).</w:t>
      </w:r>
    </w:p>
    <w:p w14:paraId="5D603AA8" w14:textId="77777777" w:rsidR="0069241E" w:rsidRPr="004A61C3" w:rsidRDefault="0069241E" w:rsidP="008D7EBE">
      <w:pPr>
        <w:pStyle w:val="ListParagraph"/>
        <w:numPr>
          <w:ilvl w:val="0"/>
          <w:numId w:val="25"/>
        </w:numPr>
        <w:rPr>
          <w:rFonts w:ascii="Open Sans" w:eastAsia="Times New Roman" w:hAnsi="Open Sans" w:cs="Open Sans"/>
          <w:color w:val="595959"/>
          <w:sz w:val="20"/>
          <w:szCs w:val="20"/>
          <w:lang w:val="en-GB"/>
        </w:rPr>
      </w:pPr>
      <w:r w:rsidRPr="004A61C3">
        <w:rPr>
          <w:rFonts w:ascii="Open Sans" w:eastAsia="Times New Roman" w:hAnsi="Open Sans" w:cs="Open Sans"/>
          <w:b/>
          <w:color w:val="595959"/>
          <w:sz w:val="20"/>
          <w:szCs w:val="20"/>
          <w:lang w:val="en-GB"/>
        </w:rPr>
        <w:t>Disclosure and accountability safeguards</w:t>
      </w:r>
      <w:r w:rsidRPr="004A61C3">
        <w:rPr>
          <w:rFonts w:ascii="Open Sans" w:eastAsia="Times New Roman" w:hAnsi="Open Sans" w:cs="Open Sans"/>
          <w:color w:val="595959"/>
          <w:sz w:val="20"/>
          <w:szCs w:val="20"/>
          <w:lang w:val="en-GB"/>
        </w:rPr>
        <w:t>, which ensure that emissions intensity disclosures and related public claims remain accurate and are not overstated when BCUs are issued or transacted (Section 10.2).</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3D8CDCD5"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4FB71426" w14:textId="543F0C21"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10 Measures to Prevent Double Counting</w:t>
            </w:r>
          </w:p>
        </w:tc>
      </w:tr>
      <w:tr w:rsidR="0069241E" w:rsidRPr="00F9616D" w14:paraId="12467A8C"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00A7DA"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Double-counting safeguards protect issuance, transaction, and claim integrity.</w:t>
            </w:r>
          </w:p>
          <w:p w14:paraId="1434332F" w14:textId="77777777" w:rsidR="0069241E" w:rsidRPr="004A61C3" w:rsidRDefault="0069241E" w:rsidP="008D7EBE">
            <w:pPr>
              <w:pStyle w:val="ListParagraph"/>
              <w:numPr>
                <w:ilvl w:val="0"/>
                <w:numId w:val="4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Each eligible unit of production may generate only one BCU.</w:t>
            </w:r>
          </w:p>
          <w:p w14:paraId="319C5583" w14:textId="77777777" w:rsidR="0069241E" w:rsidRPr="004A61C3" w:rsidRDefault="0069241E" w:rsidP="008D7EBE">
            <w:pPr>
              <w:pStyle w:val="ListParagraph"/>
              <w:numPr>
                <w:ilvl w:val="0"/>
                <w:numId w:val="4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BCUs shall not be listed simultaneously on multiple registries.</w:t>
            </w:r>
          </w:p>
          <w:p w14:paraId="55894859" w14:textId="77777777" w:rsidR="0069241E" w:rsidRPr="004A61C3" w:rsidRDefault="0069241E" w:rsidP="008D7EBE">
            <w:pPr>
              <w:pStyle w:val="ListParagraph"/>
              <w:numPr>
                <w:ilvl w:val="0"/>
                <w:numId w:val="4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Each environmental attribute may be claimed only once per eligible reporting boundary.</w:t>
            </w:r>
          </w:p>
          <w:p w14:paraId="0EA95C4C" w14:textId="77777777" w:rsidR="0069241E" w:rsidRPr="004A61C3" w:rsidRDefault="0069241E" w:rsidP="008D7EBE">
            <w:pPr>
              <w:pStyle w:val="ListParagraph"/>
              <w:numPr>
                <w:ilvl w:val="0"/>
                <w:numId w:val="40"/>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Transaction records shall prevent duplicate issuance, resale duplication, or overlapping claims.</w:t>
            </w:r>
          </w:p>
        </w:tc>
      </w:tr>
      <w:tr w:rsidR="0069241E" w:rsidRPr="00F9616D" w14:paraId="631D43EA"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4D80368"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E078F9C" w14:textId="77777777"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Additional Double-Counting Risks:</w:t>
            </w:r>
            <w:r w:rsidRPr="004A61C3">
              <w:rPr>
                <w:rFonts w:ascii="Open Sans" w:eastAsia="Helvetica" w:hAnsi="Open Sans" w:cs="Open Sans"/>
                <w:color w:val="595959" w:themeColor="text1" w:themeTint="A6"/>
                <w:sz w:val="20"/>
                <w:szCs w:val="20"/>
              </w:rPr>
              <w:t xml:space="preserve"> Are there additional double-counting risks that this framework does not yet address?</w:t>
            </w:r>
          </w:p>
        </w:tc>
      </w:tr>
      <w:tr w:rsidR="0069241E" w:rsidRPr="00F9616D" w14:paraId="126823CA"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74C34597"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251AD0B"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r w:rsidR="0069241E" w:rsidRPr="00F9616D" w14:paraId="5C64D084" w14:textId="77777777" w:rsidTr="005842DD">
        <w:trPr>
          <w:trHeight w:val="720"/>
        </w:trPr>
        <w:tc>
          <w:tcPr>
            <w:tcW w:w="428" w:type="dxa"/>
            <w:vMerge w:val="restart"/>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4031B6FB"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lastRenderedPageBreak/>
              <w:t>2</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E45874F" w14:textId="77777777" w:rsidR="0069241E" w:rsidRPr="004A61C3" w:rsidRDefault="0069241E">
            <w:pPr>
              <w:spacing w:before="240" w:after="240"/>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 xml:space="preserve">Sufficiency of Safeguards: </w:t>
            </w:r>
            <w:r w:rsidRPr="004A61C3">
              <w:rPr>
                <w:rFonts w:ascii="Open Sans" w:eastAsia="Times New Roman" w:hAnsi="Open Sans" w:cs="Open Sans"/>
                <w:color w:val="595959" w:themeColor="text1" w:themeTint="A6"/>
                <w:sz w:val="20"/>
                <w:szCs w:val="20"/>
                <w:lang w:val="en-GB"/>
              </w:rPr>
              <w:t>Do you consider the proposed safeguards sufficient to prevent double issuance, double selling, and double claiming? If not, what specific improvements would you recommend?</w:t>
            </w:r>
          </w:p>
        </w:tc>
      </w:tr>
      <w:tr w:rsidR="0069241E" w:rsidRPr="00F9616D" w14:paraId="7CDE6E11" w14:textId="77777777" w:rsidTr="005842DD">
        <w:trPr>
          <w:trHeight w:val="720"/>
        </w:trPr>
        <w:tc>
          <w:tcPr>
            <w:tcW w:w="428" w:type="dxa"/>
            <w:vMerge/>
            <w:tcBorders>
              <w:left w:val="single" w:sz="4" w:space="0" w:color="595959" w:themeColor="text1" w:themeTint="A6"/>
              <w:bottom w:val="single" w:sz="4" w:space="0" w:color="595959" w:themeColor="text1" w:themeTint="A6"/>
              <w:right w:val="single" w:sz="4" w:space="0" w:color="595959" w:themeColor="text1" w:themeTint="A6"/>
            </w:tcBorders>
            <w:vAlign w:val="center"/>
          </w:tcPr>
          <w:p w14:paraId="22A04A98"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5A7F9C" w14:textId="77777777" w:rsidR="0069241E" w:rsidRPr="004A61C3" w:rsidRDefault="0069241E">
            <w:pPr>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17406D" w:themeColor="text2"/>
                <w:sz w:val="20"/>
                <w:szCs w:val="20"/>
                <w:lang w:val="en-GB"/>
              </w:rPr>
              <w:t>Answer:</w:t>
            </w:r>
          </w:p>
        </w:tc>
      </w:tr>
    </w:tbl>
    <w:p w14:paraId="7C317FAD" w14:textId="77777777" w:rsidR="0069241E" w:rsidRPr="004A61C3" w:rsidRDefault="0069241E" w:rsidP="0069241E">
      <w:pPr>
        <w:rPr>
          <w:rFonts w:ascii="Open Sans" w:eastAsia="Times New Roman" w:hAnsi="Open Sans" w:cs="Open Sans"/>
          <w:color w:val="595959"/>
          <w:sz w:val="20"/>
          <w:szCs w:val="20"/>
          <w:lang w:val="en-GB"/>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8"/>
        <w:gridCol w:w="12501"/>
      </w:tblGrid>
      <w:tr w:rsidR="0069241E" w:rsidRPr="00F9616D" w14:paraId="0F7083EB" w14:textId="77777777">
        <w:trPr>
          <w:trHeight w:val="300"/>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47A5AE"/>
            <w:vAlign w:val="center"/>
          </w:tcPr>
          <w:p w14:paraId="11FC19A5" w14:textId="0385C1F5" w:rsidR="0069241E" w:rsidRPr="004A61C3" w:rsidRDefault="0069241E">
            <w:pPr>
              <w:spacing w:after="0" w:line="240" w:lineRule="auto"/>
              <w:rPr>
                <w:rFonts w:ascii="Open Sans" w:eastAsia="Times New Roman" w:hAnsi="Open Sans" w:cs="Open Sans"/>
                <w:sz w:val="20"/>
                <w:szCs w:val="20"/>
              </w:rPr>
            </w:pPr>
            <w:r w:rsidRPr="004A61C3">
              <w:rPr>
                <w:rFonts w:ascii="Open Sans" w:eastAsia="Times New Roman" w:hAnsi="Open Sans" w:cs="Open Sans"/>
                <w:b/>
                <w:color w:val="FFFFFF" w:themeColor="background1"/>
                <w:sz w:val="20"/>
                <w:szCs w:val="20"/>
                <w:lang w:val="en-GB"/>
              </w:rPr>
              <w:t>Section 10.</w:t>
            </w:r>
            <w:r w:rsidR="00893641">
              <w:rPr>
                <w:rFonts w:ascii="Open Sans" w:eastAsia="Times New Roman" w:hAnsi="Open Sans" w:cs="Open Sans"/>
                <w:b/>
                <w:color w:val="FFFFFF" w:themeColor="background1"/>
                <w:sz w:val="20"/>
                <w:szCs w:val="20"/>
                <w:lang w:val="en-GB"/>
              </w:rPr>
              <w:t>1</w:t>
            </w:r>
            <w:r w:rsidRPr="004A61C3">
              <w:rPr>
                <w:rFonts w:ascii="Open Sans" w:eastAsia="Times New Roman" w:hAnsi="Open Sans" w:cs="Open Sans"/>
                <w:b/>
                <w:color w:val="FFFFFF" w:themeColor="background1"/>
                <w:sz w:val="20"/>
                <w:szCs w:val="20"/>
                <w:lang w:val="en-GB"/>
              </w:rPr>
              <w:t xml:space="preserve"> Supplier Accountability of Emissions Intensity for Physical Recipient</w:t>
            </w:r>
          </w:p>
        </w:tc>
      </w:tr>
      <w:tr w:rsidR="0069241E" w:rsidRPr="00F9616D" w14:paraId="40028031" w14:textId="77777777">
        <w:trPr>
          <w:trHeight w:val="935"/>
        </w:trPr>
        <w:tc>
          <w:tcPr>
            <w:tcW w:w="12929" w:type="dxa"/>
            <w:gridSpan w:val="2"/>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A8191F4" w14:textId="77777777" w:rsidR="0069241E" w:rsidRPr="004A61C3" w:rsidRDefault="0069241E">
            <w:p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Separation of environmental attributes from physical products requires disclosure consistency.</w:t>
            </w:r>
          </w:p>
          <w:p w14:paraId="07C937B4" w14:textId="77777777" w:rsidR="0069241E" w:rsidRPr="004A61C3" w:rsidRDefault="0069241E" w:rsidP="008D7EBE">
            <w:pPr>
              <w:pStyle w:val="ListParagraph"/>
              <w:numPr>
                <w:ilvl w:val="0"/>
                <w:numId w:val="41"/>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Suppliers shall ensure public disclosures do not overstate emissions performance where attributes have been separated.</w:t>
            </w:r>
          </w:p>
          <w:p w14:paraId="4D6AA3BF" w14:textId="77777777" w:rsidR="0069241E" w:rsidRPr="004A61C3" w:rsidRDefault="0069241E" w:rsidP="008D7EBE">
            <w:pPr>
              <w:pStyle w:val="ListParagraph"/>
              <w:numPr>
                <w:ilvl w:val="0"/>
                <w:numId w:val="41"/>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EPDs and related emissions claims shall be updated or clarified where necessary to avoid double counting.</w:t>
            </w:r>
          </w:p>
          <w:p w14:paraId="0F18A870" w14:textId="77777777" w:rsidR="0069241E" w:rsidRPr="004A61C3" w:rsidRDefault="0069241E" w:rsidP="008D7EBE">
            <w:pPr>
              <w:pStyle w:val="ListParagraph"/>
              <w:numPr>
                <w:ilvl w:val="0"/>
                <w:numId w:val="41"/>
              </w:numPr>
              <w:rPr>
                <w:rFonts w:ascii="Open Sans" w:eastAsia="Calibri" w:hAnsi="Open Sans" w:cs="Open Sans"/>
                <w:color w:val="595959" w:themeColor="text1" w:themeTint="A6"/>
                <w:sz w:val="20"/>
                <w:szCs w:val="20"/>
              </w:rPr>
            </w:pPr>
            <w:r w:rsidRPr="004A61C3">
              <w:rPr>
                <w:rFonts w:ascii="Open Sans" w:eastAsia="Calibri" w:hAnsi="Open Sans" w:cs="Open Sans"/>
                <w:color w:val="595959" w:themeColor="text1" w:themeTint="A6"/>
                <w:sz w:val="20"/>
                <w:szCs w:val="20"/>
              </w:rPr>
              <w:t>Physical recipients shall not implicitly claim environmental attributes that have been separately issued.</w:t>
            </w:r>
          </w:p>
        </w:tc>
      </w:tr>
      <w:tr w:rsidR="0069241E" w:rsidRPr="00F9616D" w14:paraId="454C05AD" w14:textId="77777777" w:rsidTr="005842DD">
        <w:trPr>
          <w:trHeight w:val="720"/>
        </w:trPr>
        <w:tc>
          <w:tcPr>
            <w:tcW w:w="428" w:type="dxa"/>
            <w:vMerge w:val="restar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FCB7C9" w14:textId="77777777" w:rsidR="0069241E" w:rsidRPr="004A61C3" w:rsidRDefault="0069241E">
            <w:pPr>
              <w:spacing w:after="0" w:line="240" w:lineRule="auto"/>
              <w:rPr>
                <w:rFonts w:ascii="Open Sans" w:eastAsia="Times New Roman" w:hAnsi="Open Sans" w:cs="Open Sans"/>
                <w:b/>
                <w:color w:val="595959" w:themeColor="text1" w:themeTint="A6"/>
                <w:sz w:val="20"/>
                <w:szCs w:val="20"/>
                <w:lang w:val="en-GB"/>
              </w:rPr>
            </w:pPr>
            <w:r w:rsidRPr="004A61C3">
              <w:rPr>
                <w:rFonts w:ascii="Open Sans" w:eastAsia="Times New Roman" w:hAnsi="Open Sans" w:cs="Open Sans"/>
                <w:b/>
                <w:color w:val="595959" w:themeColor="text1" w:themeTint="A6"/>
                <w:sz w:val="20"/>
                <w:szCs w:val="20"/>
                <w:lang w:val="en-GB"/>
              </w:rPr>
              <w:t>1</w:t>
            </w: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C2367A6" w14:textId="416F809A" w:rsidR="0069241E" w:rsidRPr="004A61C3" w:rsidRDefault="0069241E">
            <w:pPr>
              <w:spacing w:before="240" w:after="240"/>
              <w:rPr>
                <w:rFonts w:ascii="Open Sans" w:eastAsia="Helvetica" w:hAnsi="Open Sans" w:cs="Open Sans"/>
                <w:color w:val="595959" w:themeColor="text1" w:themeTint="A6"/>
                <w:sz w:val="20"/>
                <w:szCs w:val="20"/>
              </w:rPr>
            </w:pPr>
            <w:r w:rsidRPr="004A61C3">
              <w:rPr>
                <w:rFonts w:ascii="Open Sans" w:eastAsia="Helvetica" w:hAnsi="Open Sans" w:cs="Open Sans"/>
                <w:b/>
                <w:color w:val="595959" w:themeColor="text1" w:themeTint="A6"/>
                <w:sz w:val="20"/>
                <w:szCs w:val="20"/>
              </w:rPr>
              <w:t>Public Disclosure Adjustments:</w:t>
            </w:r>
            <w:r w:rsidRPr="004A61C3">
              <w:rPr>
                <w:rFonts w:ascii="Open Sans" w:eastAsia="Helvetica" w:hAnsi="Open Sans" w:cs="Open Sans"/>
                <w:color w:val="595959" w:themeColor="text1" w:themeTint="A6"/>
                <w:sz w:val="20"/>
                <w:szCs w:val="20"/>
              </w:rPr>
              <w:t xml:space="preserve"> Are the proposed requirements to remove or update public disclosures (e.g., EPDs</w:t>
            </w:r>
            <w:r w:rsidR="035446ED" w:rsidRPr="757B3ABD">
              <w:rPr>
                <w:rFonts w:ascii="Open Sans" w:eastAsia="Helvetica" w:hAnsi="Open Sans" w:cs="Open Sans"/>
                <w:color w:val="595959" w:themeColor="text1" w:themeTint="A6"/>
                <w:sz w:val="20"/>
                <w:szCs w:val="20"/>
              </w:rPr>
              <w:t>, sustainability requirement</w:t>
            </w:r>
            <w:r w:rsidRPr="757B3ABD">
              <w:rPr>
                <w:rFonts w:ascii="Open Sans" w:eastAsia="Helvetica" w:hAnsi="Open Sans" w:cs="Open Sans"/>
                <w:color w:val="595959" w:themeColor="text1" w:themeTint="A6"/>
                <w:sz w:val="20"/>
                <w:szCs w:val="20"/>
              </w:rPr>
              <w:t xml:space="preserve">) practical? </w:t>
            </w:r>
            <w:r w:rsidRPr="004A61C3">
              <w:rPr>
                <w:rFonts w:ascii="Open Sans" w:eastAsia="Helvetica" w:hAnsi="Open Sans" w:cs="Open Sans"/>
                <w:color w:val="595959" w:themeColor="text1" w:themeTint="A6"/>
                <w:sz w:val="20"/>
                <w:szCs w:val="20"/>
              </w:rPr>
              <w:t>What operational challenges do you foresee?</w:t>
            </w:r>
            <w:r w:rsidR="669C6855" w:rsidRPr="757B3ABD">
              <w:rPr>
                <w:rFonts w:ascii="Open Sans" w:eastAsia="Helvetica" w:hAnsi="Open Sans" w:cs="Open Sans"/>
                <w:color w:val="595959" w:themeColor="text1" w:themeTint="A6"/>
                <w:sz w:val="20"/>
                <w:szCs w:val="20"/>
              </w:rPr>
              <w:t xml:space="preserve"> </w:t>
            </w:r>
          </w:p>
        </w:tc>
      </w:tr>
      <w:tr w:rsidR="0069241E" w:rsidRPr="00F9616D" w14:paraId="1DFA482A" w14:textId="77777777" w:rsidTr="757B3ABD">
        <w:trPr>
          <w:trHeight w:val="720"/>
        </w:trPr>
        <w:tc>
          <w:tcPr>
            <w:tcW w:w="428" w:type="dxa"/>
            <w:vMerge/>
            <w:vAlign w:val="center"/>
          </w:tcPr>
          <w:p w14:paraId="1082846F" w14:textId="77777777" w:rsidR="0069241E" w:rsidRPr="004A61C3" w:rsidRDefault="0069241E">
            <w:pPr>
              <w:rPr>
                <w:rFonts w:ascii="Open Sans" w:hAnsi="Open Sans" w:cs="Open Sans"/>
                <w:b/>
                <w:color w:val="595959" w:themeColor="text1" w:themeTint="A6"/>
                <w:sz w:val="20"/>
                <w:szCs w:val="20"/>
              </w:rPr>
            </w:pPr>
          </w:p>
        </w:tc>
        <w:tc>
          <w:tcPr>
            <w:tcW w:w="1250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A1F4DD8" w14:textId="77777777" w:rsidR="0069241E" w:rsidRPr="004A61C3" w:rsidRDefault="0069241E">
            <w:pPr>
              <w:rPr>
                <w:rFonts w:ascii="Open Sans" w:eastAsia="Helvetica" w:hAnsi="Open Sans" w:cs="Open Sans"/>
                <w:b/>
                <w:sz w:val="20"/>
                <w:szCs w:val="20"/>
              </w:rPr>
            </w:pPr>
            <w:r w:rsidRPr="004A61C3">
              <w:rPr>
                <w:rFonts w:ascii="Open Sans" w:eastAsia="Times New Roman" w:hAnsi="Open Sans" w:cs="Open Sans"/>
                <w:b/>
                <w:color w:val="17406D" w:themeColor="text2"/>
                <w:sz w:val="20"/>
                <w:szCs w:val="20"/>
                <w:lang w:val="en-GB"/>
              </w:rPr>
              <w:t>Answer:</w:t>
            </w:r>
          </w:p>
        </w:tc>
      </w:tr>
    </w:tbl>
    <w:p w14:paraId="19E66864" w14:textId="77777777" w:rsidR="0008542C" w:rsidRPr="004A61C3" w:rsidRDefault="0008542C"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p w14:paraId="571E614C" w14:textId="77777777" w:rsidR="002F2FF6" w:rsidRPr="004A61C3" w:rsidRDefault="002F2FF6" w:rsidP="00AE2C1A">
      <w:pPr>
        <w:shd w:val="clear" w:color="auto" w:fill="FFFFFF" w:themeFill="background1"/>
        <w:spacing w:line="240" w:lineRule="auto"/>
        <w:textAlignment w:val="baseline"/>
        <w:rPr>
          <w:rFonts w:ascii="Open Sans" w:eastAsia="Calibri" w:hAnsi="Open Sans" w:cs="Open Sans"/>
          <w:color w:val="595959"/>
          <w:sz w:val="20"/>
          <w:szCs w:val="20"/>
          <w:lang w:eastAsia="zh-CN"/>
        </w:rPr>
      </w:pPr>
    </w:p>
    <w:p w14:paraId="4C3D45B5" w14:textId="65A818C1" w:rsidR="002F2FF6" w:rsidRPr="004A61C3" w:rsidRDefault="00711CA4" w:rsidP="00711CA4">
      <w:pPr>
        <w:rPr>
          <w:rFonts w:ascii="Open Sans" w:eastAsia="Calibri" w:hAnsi="Open Sans" w:cs="Open Sans"/>
          <w:color w:val="595959"/>
          <w:sz w:val="20"/>
          <w:szCs w:val="20"/>
          <w:lang w:eastAsia="zh-CN"/>
        </w:rPr>
      </w:pPr>
      <w:r>
        <w:rPr>
          <w:rFonts w:ascii="Open Sans" w:eastAsia="Calibri" w:hAnsi="Open Sans" w:cs="Open Sans"/>
          <w:color w:val="595959"/>
          <w:sz w:val="20"/>
          <w:szCs w:val="20"/>
          <w:lang w:eastAsia="zh-CN"/>
        </w:rPr>
        <w:br w:type="page"/>
      </w:r>
    </w:p>
    <w:p w14:paraId="11FF77D2" w14:textId="53F0ED2F" w:rsidR="001709FC" w:rsidRPr="00711CA4" w:rsidRDefault="001D23B9" w:rsidP="00AE2C1A">
      <w:pPr>
        <w:shd w:val="clear" w:color="auto" w:fill="FFFFFF"/>
        <w:spacing w:before="240" w:line="240" w:lineRule="auto"/>
        <w:textAlignment w:val="baseline"/>
        <w:rPr>
          <w:rFonts w:ascii="Open Sans" w:eastAsia="Times New Roman" w:hAnsi="Open Sans" w:cs="Open Sans"/>
          <w:b/>
        </w:rPr>
      </w:pPr>
      <w:r w:rsidRPr="00711CA4">
        <w:rPr>
          <w:rFonts w:ascii="Open Sans" w:eastAsia="Times New Roman" w:hAnsi="Open Sans" w:cs="Open Sans"/>
          <w:b/>
          <w:color w:val="595959"/>
          <w:u w:val="single"/>
          <w:lang w:val="en-GB"/>
        </w:rPr>
        <w:lastRenderedPageBreak/>
        <w:t>Additional</w:t>
      </w:r>
      <w:r w:rsidR="00BB2922" w:rsidRPr="00711CA4">
        <w:rPr>
          <w:rFonts w:ascii="Open Sans" w:eastAsia="Times New Roman" w:hAnsi="Open Sans" w:cs="Open Sans"/>
          <w:b/>
          <w:color w:val="595959"/>
          <w:u w:val="single"/>
          <w:lang w:val="en-GB"/>
        </w:rPr>
        <w:t xml:space="preserve"> </w:t>
      </w:r>
      <w:r w:rsidR="001709FC" w:rsidRPr="00711CA4">
        <w:rPr>
          <w:rFonts w:ascii="Open Sans" w:eastAsia="Times New Roman" w:hAnsi="Open Sans" w:cs="Open Sans"/>
          <w:b/>
          <w:color w:val="595959"/>
          <w:u w:val="single"/>
          <w:lang w:val="en-GB"/>
        </w:rPr>
        <w:t>Comments</w:t>
      </w:r>
      <w:r w:rsidR="001709FC" w:rsidRPr="00711CA4">
        <w:rPr>
          <w:rFonts w:ascii="Open Sans" w:eastAsia="Times New Roman" w:hAnsi="Open Sans" w:cs="Open Sans"/>
          <w:b/>
          <w:color w:val="595959"/>
        </w:rPr>
        <w:t> </w:t>
      </w:r>
    </w:p>
    <w:p w14:paraId="0D9723EC" w14:textId="42781F8A" w:rsidR="001709FC" w:rsidRPr="004A61C3" w:rsidRDefault="001709FC" w:rsidP="00AE2C1A">
      <w:pPr>
        <w:spacing w:line="240" w:lineRule="auto"/>
        <w:textAlignment w:val="baseline"/>
        <w:rPr>
          <w:rFonts w:ascii="Open Sans" w:eastAsia="Times New Roman" w:hAnsi="Open Sans" w:cs="Open Sans"/>
          <w:sz w:val="18"/>
          <w:szCs w:val="18"/>
          <w:lang w:eastAsia="zh-CN"/>
        </w:rPr>
      </w:pPr>
      <w:r w:rsidRPr="004A61C3">
        <w:rPr>
          <w:rFonts w:ascii="Open Sans" w:eastAsia="Times New Roman" w:hAnsi="Open Sans" w:cs="Open Sans"/>
          <w:color w:val="595959"/>
          <w:sz w:val="20"/>
          <w:szCs w:val="20"/>
          <w:lang w:val="en-GB"/>
        </w:rPr>
        <w:t xml:space="preserve">Please provide comments </w:t>
      </w:r>
      <w:r w:rsidR="00B978E7" w:rsidRPr="004A61C3">
        <w:rPr>
          <w:rFonts w:ascii="Open Sans" w:eastAsia="Times New Roman" w:hAnsi="Open Sans" w:cs="Open Sans"/>
          <w:color w:val="595959"/>
          <w:sz w:val="20"/>
          <w:szCs w:val="20"/>
          <w:lang w:val="en-GB"/>
        </w:rPr>
        <w:t xml:space="preserve">that are not covered by above questions </w:t>
      </w:r>
      <w:r w:rsidRPr="004A61C3">
        <w:rPr>
          <w:rFonts w:ascii="Open Sans" w:eastAsia="Times New Roman" w:hAnsi="Open Sans" w:cs="Open Sans"/>
          <w:color w:val="595959"/>
          <w:sz w:val="20"/>
          <w:szCs w:val="20"/>
          <w:lang w:val="en-GB"/>
        </w:rPr>
        <w:t xml:space="preserve">in the below format. This table can be used for general </w:t>
      </w:r>
      <w:r w:rsidR="00FA79D9" w:rsidRPr="004A61C3">
        <w:rPr>
          <w:rFonts w:ascii="Open Sans" w:eastAsia="Times New Roman" w:hAnsi="Open Sans" w:cs="Open Sans"/>
          <w:color w:val="595959"/>
          <w:sz w:val="20"/>
          <w:szCs w:val="20"/>
          <w:lang w:val="en-GB"/>
        </w:rPr>
        <w:t>(g)</w:t>
      </w:r>
      <w:r w:rsidRPr="004A61C3">
        <w:rPr>
          <w:rFonts w:ascii="Open Sans" w:eastAsia="Times New Roman" w:hAnsi="Open Sans" w:cs="Open Sans"/>
          <w:color w:val="595959"/>
          <w:sz w:val="20"/>
          <w:szCs w:val="20"/>
          <w:lang w:val="en-GB"/>
        </w:rPr>
        <w:t xml:space="preserve">, technical </w:t>
      </w:r>
      <w:r w:rsidR="00FA79D9" w:rsidRPr="004A61C3">
        <w:rPr>
          <w:rFonts w:ascii="Open Sans" w:eastAsia="Times New Roman" w:hAnsi="Open Sans" w:cs="Open Sans"/>
          <w:color w:val="595959"/>
          <w:sz w:val="20"/>
          <w:szCs w:val="20"/>
          <w:lang w:val="en-GB"/>
        </w:rPr>
        <w:t>(t)</w:t>
      </w:r>
      <w:r w:rsidRPr="004A61C3">
        <w:rPr>
          <w:rFonts w:ascii="Open Sans" w:eastAsia="Times New Roman" w:hAnsi="Open Sans" w:cs="Open Sans"/>
          <w:color w:val="595959"/>
          <w:sz w:val="20"/>
          <w:szCs w:val="20"/>
          <w:lang w:val="en-GB"/>
        </w:rPr>
        <w:t>, and editorial comments</w:t>
      </w:r>
      <w:r w:rsidR="00FA79D9" w:rsidRPr="004A61C3">
        <w:rPr>
          <w:rFonts w:ascii="Open Sans" w:eastAsia="Times New Roman" w:hAnsi="Open Sans" w:cs="Open Sans"/>
          <w:color w:val="595959"/>
          <w:sz w:val="20"/>
          <w:szCs w:val="20"/>
          <w:lang w:val="en-GB"/>
        </w:rPr>
        <w:t xml:space="preserve"> (ed)</w:t>
      </w:r>
      <w:r w:rsidRPr="004A61C3">
        <w:rPr>
          <w:rFonts w:ascii="Open Sans" w:eastAsia="Times New Roman" w:hAnsi="Open Sans" w:cs="Open Sans"/>
          <w:color w:val="595959"/>
          <w:sz w:val="20"/>
          <w:szCs w:val="20"/>
          <w:lang w:val="en-GB"/>
        </w:rPr>
        <w:t>. </w:t>
      </w:r>
      <w:r w:rsidRPr="004A61C3">
        <w:rPr>
          <w:rFonts w:ascii="Open Sans" w:eastAsia="Times New Roman" w:hAnsi="Open Sans" w:cs="Open Sans"/>
          <w:color w:val="595959"/>
          <w:sz w:val="20"/>
          <w:szCs w:val="20"/>
        </w:rPr>
        <w:t> </w:t>
      </w:r>
    </w:p>
    <w:tbl>
      <w:tblPr>
        <w:tblW w:w="129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919"/>
        <w:gridCol w:w="1295"/>
        <w:gridCol w:w="5634"/>
        <w:gridCol w:w="4206"/>
        <w:gridCol w:w="15"/>
      </w:tblGrid>
      <w:tr w:rsidR="00704EFD" w:rsidRPr="001709FC" w14:paraId="68AC2650" w14:textId="77777777" w:rsidTr="00D11E81">
        <w:trPr>
          <w:trHeight w:val="300"/>
        </w:trPr>
        <w:tc>
          <w:tcPr>
            <w:tcW w:w="848"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A49CF06" w14:textId="718F669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8"/>
                <w:szCs w:val="18"/>
                <w:lang w:val="en-GB"/>
              </w:rPr>
              <w:t>Comment #</w:t>
            </w:r>
          </w:p>
          <w:p w14:paraId="7C982584" w14:textId="255F9CEE"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921" w:type="dxa"/>
            <w:tcBorders>
              <w:top w:val="single" w:sz="6" w:space="0" w:color="auto"/>
              <w:left w:val="single" w:sz="6" w:space="0" w:color="auto"/>
              <w:bottom w:val="single" w:sz="6" w:space="0" w:color="auto"/>
              <w:right w:val="single" w:sz="6" w:space="0" w:color="auto"/>
            </w:tcBorders>
            <w:shd w:val="clear" w:color="auto" w:fill="EEF3FC"/>
            <w:vAlign w:val="center"/>
          </w:tcPr>
          <w:p w14:paraId="67E32A28" w14:textId="77777777" w:rsidR="00704EFD" w:rsidRPr="004A61C3" w:rsidRDefault="00704EFD" w:rsidP="00AE2C1A">
            <w:pPr>
              <w:spacing w:after="0" w:line="240" w:lineRule="auto"/>
              <w:textAlignment w:val="baseline"/>
              <w:rPr>
                <w:rFonts w:ascii="Open Sans" w:eastAsia="Times New Roman" w:hAnsi="Open Sans" w:cs="Open Sans"/>
                <w:b/>
                <w:color w:val="595959"/>
                <w:sz w:val="18"/>
                <w:szCs w:val="18"/>
                <w:lang w:val="en-GB"/>
              </w:rPr>
            </w:pPr>
            <w:r w:rsidRPr="004A61C3">
              <w:rPr>
                <w:rFonts w:ascii="Open Sans" w:eastAsia="Times New Roman" w:hAnsi="Open Sans" w:cs="Open Sans"/>
                <w:b/>
                <w:color w:val="595959"/>
                <w:sz w:val="18"/>
                <w:szCs w:val="18"/>
                <w:lang w:val="en-GB"/>
              </w:rPr>
              <w:t>Page number</w:t>
            </w:r>
          </w:p>
          <w:p w14:paraId="1FFDBBF0" w14:textId="2FA72C18" w:rsidR="00704EFD" w:rsidRPr="004A61C3" w:rsidRDefault="00704EFD" w:rsidP="00AE2C1A">
            <w:pPr>
              <w:spacing w:after="0" w:line="240" w:lineRule="auto"/>
              <w:textAlignment w:val="baseline"/>
              <w:rPr>
                <w:rFonts w:ascii="Open Sans" w:eastAsia="Times New Roman" w:hAnsi="Open Sans" w:cs="Open Sans"/>
                <w:b/>
                <w:color w:val="595959"/>
                <w:sz w:val="18"/>
                <w:szCs w:val="18"/>
                <w:lang w:val="en-GB"/>
              </w:rPr>
            </w:pPr>
            <w:r w:rsidRPr="004A61C3">
              <w:rPr>
                <w:rFonts w:ascii="Open Sans" w:eastAsia="Times New Roman" w:hAnsi="Open Sans" w:cs="Open Sans"/>
                <w:color w:val="595959"/>
                <w:sz w:val="18"/>
                <w:szCs w:val="18"/>
                <w:lang w:val="en-GB"/>
              </w:rPr>
              <w:t>(e.g., 3)</w:t>
            </w:r>
          </w:p>
        </w:tc>
        <w:tc>
          <w:tcPr>
            <w:tcW w:w="1298"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7340707F" w14:textId="77777777" w:rsidR="00704EFD" w:rsidRPr="004A61C3" w:rsidRDefault="00704EFD" w:rsidP="00AE2C1A">
            <w:pPr>
              <w:spacing w:after="0" w:line="240" w:lineRule="auto"/>
              <w:textAlignment w:val="baseline"/>
              <w:rPr>
                <w:rFonts w:ascii="Open Sans" w:eastAsia="Times New Roman" w:hAnsi="Open Sans" w:cs="Open Sans"/>
                <w:b/>
                <w:color w:val="595959"/>
                <w:sz w:val="18"/>
                <w:szCs w:val="18"/>
                <w:lang w:val="en-GB"/>
              </w:rPr>
            </w:pPr>
            <w:r w:rsidRPr="004A61C3">
              <w:rPr>
                <w:rFonts w:ascii="Open Sans" w:eastAsia="Times New Roman" w:hAnsi="Open Sans" w:cs="Open Sans"/>
                <w:b/>
                <w:color w:val="595959"/>
                <w:sz w:val="18"/>
                <w:szCs w:val="18"/>
                <w:lang w:val="en-GB"/>
              </w:rPr>
              <w:t>Type of comment</w:t>
            </w:r>
          </w:p>
          <w:p w14:paraId="21545533" w14:textId="46E10872" w:rsidR="00704EFD" w:rsidRPr="004A61C3" w:rsidRDefault="00704EFD" w:rsidP="00AE2C1A">
            <w:pPr>
              <w:spacing w:after="0" w:line="240" w:lineRule="auto"/>
              <w:textAlignment w:val="baseline"/>
              <w:rPr>
                <w:rFonts w:ascii="Open Sans" w:eastAsia="Times New Roman" w:hAnsi="Open Sans" w:cs="Open Sans"/>
                <w:color w:val="595959"/>
                <w:sz w:val="12"/>
                <w:szCs w:val="12"/>
              </w:rPr>
            </w:pPr>
            <w:r w:rsidRPr="004A61C3">
              <w:rPr>
                <w:rFonts w:ascii="Open Sans" w:eastAsia="Times New Roman" w:hAnsi="Open Sans" w:cs="Open Sans"/>
                <w:color w:val="595959"/>
                <w:sz w:val="18"/>
                <w:szCs w:val="18"/>
                <w:lang w:val="en-GB"/>
              </w:rPr>
              <w:t>(e.g., g, t, ed)</w:t>
            </w:r>
          </w:p>
        </w:tc>
        <w:tc>
          <w:tcPr>
            <w:tcW w:w="5670" w:type="dxa"/>
            <w:tcBorders>
              <w:top w:val="single" w:sz="6" w:space="0" w:color="auto"/>
              <w:left w:val="single" w:sz="6" w:space="0" w:color="auto"/>
              <w:bottom w:val="single" w:sz="6" w:space="0" w:color="auto"/>
              <w:right w:val="single" w:sz="6" w:space="0" w:color="auto"/>
            </w:tcBorders>
            <w:shd w:val="clear" w:color="auto" w:fill="EEF3FC"/>
            <w:vAlign w:val="center"/>
            <w:hideMark/>
          </w:tcPr>
          <w:p w14:paraId="3B555973" w14:textId="60141A6B" w:rsidR="00704EFD" w:rsidRPr="004A61C3" w:rsidRDefault="00704EFD" w:rsidP="00AE2C1A">
            <w:pPr>
              <w:spacing w:after="0" w:line="240" w:lineRule="auto"/>
              <w:textAlignment w:val="baseline"/>
              <w:rPr>
                <w:rFonts w:ascii="Open Sans" w:eastAsia="Times New Roman" w:hAnsi="Open Sans" w:cs="Open Sans"/>
                <w:b/>
                <w:color w:val="595959"/>
                <w:sz w:val="18"/>
                <w:szCs w:val="18"/>
                <w:lang w:val="en-GB"/>
              </w:rPr>
            </w:pPr>
            <w:r w:rsidRPr="004A61C3">
              <w:rPr>
                <w:rFonts w:ascii="Open Sans" w:eastAsia="Times New Roman" w:hAnsi="Open Sans" w:cs="Open Sans"/>
                <w:b/>
                <w:color w:val="595959"/>
                <w:sz w:val="18"/>
                <w:szCs w:val="18"/>
                <w:lang w:val="en-GB"/>
              </w:rPr>
              <w:t>Reviewer comment</w:t>
            </w:r>
          </w:p>
        </w:tc>
        <w:tc>
          <w:tcPr>
            <w:tcW w:w="4230" w:type="dxa"/>
            <w:gridSpan w:val="2"/>
            <w:tcBorders>
              <w:top w:val="single" w:sz="6" w:space="0" w:color="auto"/>
              <w:left w:val="single" w:sz="6" w:space="0" w:color="auto"/>
              <w:bottom w:val="single" w:sz="6" w:space="0" w:color="auto"/>
              <w:right w:val="single" w:sz="6" w:space="0" w:color="auto"/>
            </w:tcBorders>
            <w:shd w:val="clear" w:color="auto" w:fill="EEF3FC"/>
            <w:vAlign w:val="center"/>
            <w:hideMark/>
          </w:tcPr>
          <w:p w14:paraId="54555509" w14:textId="7E46716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8"/>
                <w:szCs w:val="18"/>
                <w:lang w:val="en-GB"/>
              </w:rPr>
              <w:t>Potential reviewer suggestion</w:t>
            </w:r>
          </w:p>
        </w:tc>
      </w:tr>
      <w:tr w:rsidR="00704EFD" w:rsidRPr="001709FC" w14:paraId="4C362483"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2F46C86B"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12BD339C" w14:textId="77777777" w:rsidR="00704EFD" w:rsidRPr="004A61C3" w:rsidRDefault="00704EFD" w:rsidP="00AE2C1A">
            <w:pPr>
              <w:spacing w:after="0" w:line="240" w:lineRule="auto"/>
              <w:textAlignment w:val="baseline"/>
              <w:rPr>
                <w:rFonts w:ascii="Open Sans" w:eastAsia="Times New Roman" w:hAnsi="Open Sans" w:cs="Open Sans"/>
                <w:b/>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hideMark/>
          </w:tcPr>
          <w:p w14:paraId="55C3A16B" w14:textId="74ACEB22"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5670" w:type="dxa"/>
            <w:tcBorders>
              <w:top w:val="single" w:sz="6" w:space="0" w:color="auto"/>
              <w:left w:val="single" w:sz="6" w:space="0" w:color="auto"/>
              <w:bottom w:val="single" w:sz="6" w:space="0" w:color="auto"/>
              <w:right w:val="single" w:sz="6" w:space="0" w:color="auto"/>
            </w:tcBorders>
            <w:hideMark/>
          </w:tcPr>
          <w:p w14:paraId="4D146C39" w14:textId="2A981A79"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4230" w:type="dxa"/>
            <w:tcBorders>
              <w:top w:val="single" w:sz="6" w:space="0" w:color="auto"/>
              <w:left w:val="single" w:sz="6" w:space="0" w:color="auto"/>
              <w:bottom w:val="single" w:sz="6" w:space="0" w:color="auto"/>
              <w:right w:val="single" w:sz="6" w:space="0" w:color="auto"/>
            </w:tcBorders>
            <w:hideMark/>
          </w:tcPr>
          <w:p w14:paraId="2388A532"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3BC2D80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54239C04"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2</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A736C60" w14:textId="77777777" w:rsidR="00704EFD" w:rsidRPr="004A61C3" w:rsidRDefault="00704EFD" w:rsidP="00AE2C1A">
            <w:pPr>
              <w:spacing w:after="0" w:line="240" w:lineRule="auto"/>
              <w:textAlignment w:val="baseline"/>
              <w:rPr>
                <w:rFonts w:ascii="Open Sans" w:eastAsia="Times New Roman" w:hAnsi="Open Sans" w:cs="Open Sans"/>
                <w:b/>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hideMark/>
          </w:tcPr>
          <w:p w14:paraId="2DEBDDE0" w14:textId="382AAD27"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5670" w:type="dxa"/>
            <w:tcBorders>
              <w:top w:val="single" w:sz="6" w:space="0" w:color="auto"/>
              <w:left w:val="single" w:sz="6" w:space="0" w:color="auto"/>
              <w:bottom w:val="single" w:sz="6" w:space="0" w:color="auto"/>
              <w:right w:val="single" w:sz="6" w:space="0" w:color="auto"/>
            </w:tcBorders>
            <w:hideMark/>
          </w:tcPr>
          <w:p w14:paraId="4CAB9AE3" w14:textId="58636798"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4230" w:type="dxa"/>
            <w:tcBorders>
              <w:top w:val="single" w:sz="6" w:space="0" w:color="auto"/>
              <w:left w:val="single" w:sz="6" w:space="0" w:color="auto"/>
              <w:bottom w:val="single" w:sz="6" w:space="0" w:color="auto"/>
              <w:right w:val="single" w:sz="6" w:space="0" w:color="auto"/>
            </w:tcBorders>
            <w:hideMark/>
          </w:tcPr>
          <w:p w14:paraId="6E61DF5D"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73F35E40"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3CE5D437"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3</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3F703D2" w14:textId="77777777" w:rsidR="00704EFD" w:rsidRPr="004A61C3" w:rsidRDefault="00704EFD" w:rsidP="00AE2C1A">
            <w:pPr>
              <w:spacing w:after="0" w:line="240" w:lineRule="auto"/>
              <w:textAlignment w:val="baseline"/>
              <w:rPr>
                <w:rFonts w:ascii="Open Sans" w:eastAsia="Times New Roman" w:hAnsi="Open Sans" w:cs="Open Sans"/>
                <w:b/>
                <w:color w:val="595959"/>
                <w:sz w:val="16"/>
                <w:szCs w:val="16"/>
                <w:lang w:val="en-GB"/>
              </w:rPr>
            </w:pPr>
          </w:p>
        </w:tc>
        <w:tc>
          <w:tcPr>
            <w:tcW w:w="1298" w:type="dxa"/>
            <w:tcBorders>
              <w:top w:val="single" w:sz="6" w:space="0" w:color="auto"/>
              <w:left w:val="single" w:sz="6" w:space="0" w:color="auto"/>
              <w:bottom w:val="single" w:sz="6" w:space="0" w:color="auto"/>
              <w:right w:val="single" w:sz="6" w:space="0" w:color="auto"/>
            </w:tcBorders>
            <w:hideMark/>
          </w:tcPr>
          <w:p w14:paraId="3C4E4370" w14:textId="168FEA0F"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5670" w:type="dxa"/>
            <w:tcBorders>
              <w:top w:val="single" w:sz="6" w:space="0" w:color="auto"/>
              <w:left w:val="single" w:sz="6" w:space="0" w:color="auto"/>
              <w:bottom w:val="single" w:sz="6" w:space="0" w:color="auto"/>
              <w:right w:val="single" w:sz="6" w:space="0" w:color="auto"/>
            </w:tcBorders>
            <w:hideMark/>
          </w:tcPr>
          <w:p w14:paraId="217DED9D" w14:textId="36560774" w:rsidR="00704EFD" w:rsidRPr="004A61C3" w:rsidRDefault="00704EFD" w:rsidP="00AE2C1A">
            <w:pPr>
              <w:spacing w:after="0" w:line="240" w:lineRule="auto"/>
              <w:textAlignment w:val="baseline"/>
              <w:rPr>
                <w:rFonts w:ascii="Open Sans" w:eastAsia="Times New Roman" w:hAnsi="Open Sans" w:cs="Open Sans"/>
                <w:sz w:val="24"/>
                <w:szCs w:val="24"/>
              </w:rPr>
            </w:pPr>
          </w:p>
        </w:tc>
        <w:tc>
          <w:tcPr>
            <w:tcW w:w="4230" w:type="dxa"/>
            <w:tcBorders>
              <w:top w:val="single" w:sz="6" w:space="0" w:color="auto"/>
              <w:left w:val="single" w:sz="6" w:space="0" w:color="auto"/>
              <w:bottom w:val="single" w:sz="6" w:space="0" w:color="auto"/>
              <w:right w:val="single" w:sz="6" w:space="0" w:color="auto"/>
            </w:tcBorders>
            <w:hideMark/>
          </w:tcPr>
          <w:p w14:paraId="77117646"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57783DA7"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5A73C325"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4</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0BB1B9BA"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28094084"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05FCC82C"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4D97E6A6"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19100E3D"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3AE2173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5</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C31A11B"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68A6AFEF"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5DB8503E"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02EB545C"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65EBE07B"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17FEF236"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6</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6AF7468E"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28452C7C"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00C85097"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1FC8658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3172FBF9"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250FBE5E"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7</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2A99315E"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69B3CF25"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321EBE45"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60763242"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2CC86535"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23394BD0"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8</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2BBDB5BE"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66FA5139"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2C0AF597"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3B7C5B53"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4424DC4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1EDF64DE"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9</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733D9496"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168E799D"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72DC4949"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07F459C7"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07247894"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552306A7"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10</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41012906"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4424AD81"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4E20FFE9"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63066383"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032A0187"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1D326D0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11</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31DCB38A"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7A65185F"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1364F8C3"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23A81B3F"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721AB7F8"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7D895003"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12</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776F1AE2"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0D1DF1D2"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50D2C18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405759BF"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2FB03568"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06109F2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13</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29FCFCE"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60186661"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231C8F5A"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19B429B1"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30E84832"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15FDA2E9"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14</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3F5E917B"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72B4EAB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219D919A"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34E7850E"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r w:rsidR="00704EFD" w:rsidRPr="001709FC" w14:paraId="37720332" w14:textId="77777777" w:rsidTr="006E2D1E">
        <w:trPr>
          <w:gridAfter w:val="1"/>
          <w:wAfter w:w="15" w:type="dxa"/>
          <w:trHeight w:val="300"/>
        </w:trPr>
        <w:tc>
          <w:tcPr>
            <w:tcW w:w="848" w:type="dxa"/>
            <w:tcBorders>
              <w:top w:val="single" w:sz="6" w:space="0" w:color="auto"/>
              <w:left w:val="single" w:sz="6" w:space="0" w:color="auto"/>
              <w:bottom w:val="single" w:sz="6" w:space="0" w:color="auto"/>
              <w:right w:val="single" w:sz="6" w:space="0" w:color="auto"/>
            </w:tcBorders>
            <w:hideMark/>
          </w:tcPr>
          <w:p w14:paraId="5A268566"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b/>
                <w:color w:val="595959"/>
                <w:sz w:val="16"/>
                <w:szCs w:val="16"/>
                <w:lang w:val="en-GB"/>
              </w:rPr>
              <w:t>15</w:t>
            </w:r>
            <w:r w:rsidRPr="004A61C3">
              <w:rPr>
                <w:rFonts w:ascii="Open Sans" w:eastAsia="Times New Roman" w:hAnsi="Open Sans" w:cs="Open Sans"/>
                <w:color w:val="595959"/>
                <w:sz w:val="16"/>
                <w:szCs w:val="16"/>
              </w:rPr>
              <w:t> </w:t>
            </w:r>
          </w:p>
        </w:tc>
        <w:tc>
          <w:tcPr>
            <w:tcW w:w="921" w:type="dxa"/>
            <w:tcBorders>
              <w:top w:val="single" w:sz="6" w:space="0" w:color="auto"/>
              <w:left w:val="single" w:sz="6" w:space="0" w:color="auto"/>
              <w:bottom w:val="single" w:sz="6" w:space="0" w:color="auto"/>
              <w:right w:val="single" w:sz="6" w:space="0" w:color="auto"/>
            </w:tcBorders>
          </w:tcPr>
          <w:p w14:paraId="5BBA7810" w14:textId="77777777" w:rsidR="00704EFD" w:rsidRPr="004A61C3" w:rsidRDefault="00704EFD" w:rsidP="00AE2C1A">
            <w:pPr>
              <w:spacing w:after="0" w:line="240" w:lineRule="auto"/>
              <w:textAlignment w:val="baseline"/>
              <w:rPr>
                <w:rFonts w:ascii="Open Sans" w:eastAsia="Times New Roman" w:hAnsi="Open Sans" w:cs="Open Sans"/>
                <w:color w:val="595959"/>
                <w:sz w:val="16"/>
                <w:szCs w:val="16"/>
              </w:rPr>
            </w:pPr>
          </w:p>
        </w:tc>
        <w:tc>
          <w:tcPr>
            <w:tcW w:w="1298" w:type="dxa"/>
            <w:tcBorders>
              <w:top w:val="single" w:sz="6" w:space="0" w:color="auto"/>
              <w:left w:val="single" w:sz="6" w:space="0" w:color="auto"/>
              <w:bottom w:val="single" w:sz="6" w:space="0" w:color="auto"/>
              <w:right w:val="single" w:sz="6" w:space="0" w:color="auto"/>
            </w:tcBorders>
            <w:hideMark/>
          </w:tcPr>
          <w:p w14:paraId="141C92CA"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5670" w:type="dxa"/>
            <w:tcBorders>
              <w:top w:val="single" w:sz="6" w:space="0" w:color="auto"/>
              <w:left w:val="single" w:sz="6" w:space="0" w:color="auto"/>
              <w:bottom w:val="single" w:sz="6" w:space="0" w:color="auto"/>
              <w:right w:val="single" w:sz="6" w:space="0" w:color="auto"/>
            </w:tcBorders>
            <w:hideMark/>
          </w:tcPr>
          <w:p w14:paraId="27381238"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c>
          <w:tcPr>
            <w:tcW w:w="4230" w:type="dxa"/>
            <w:tcBorders>
              <w:top w:val="single" w:sz="6" w:space="0" w:color="auto"/>
              <w:left w:val="single" w:sz="6" w:space="0" w:color="auto"/>
              <w:bottom w:val="single" w:sz="6" w:space="0" w:color="auto"/>
              <w:right w:val="single" w:sz="6" w:space="0" w:color="auto"/>
            </w:tcBorders>
            <w:hideMark/>
          </w:tcPr>
          <w:p w14:paraId="2D1FC915" w14:textId="77777777" w:rsidR="00704EFD" w:rsidRPr="004A61C3" w:rsidRDefault="00704EFD" w:rsidP="00AE2C1A">
            <w:pPr>
              <w:spacing w:after="0" w:line="240" w:lineRule="auto"/>
              <w:textAlignment w:val="baseline"/>
              <w:rPr>
                <w:rFonts w:ascii="Open Sans" w:eastAsia="Times New Roman" w:hAnsi="Open Sans" w:cs="Open Sans"/>
                <w:sz w:val="24"/>
                <w:szCs w:val="24"/>
              </w:rPr>
            </w:pPr>
            <w:r w:rsidRPr="004A61C3">
              <w:rPr>
                <w:rFonts w:ascii="Open Sans" w:eastAsia="Times New Roman" w:hAnsi="Open Sans" w:cs="Open Sans"/>
                <w:color w:val="595959"/>
                <w:sz w:val="16"/>
                <w:szCs w:val="16"/>
              </w:rPr>
              <w:t> </w:t>
            </w:r>
          </w:p>
        </w:tc>
      </w:tr>
    </w:tbl>
    <w:p w14:paraId="67E7F89F" w14:textId="618A117F" w:rsidR="6EF01936" w:rsidRPr="004A61C3" w:rsidRDefault="6EF01936" w:rsidP="00AE2C1A">
      <w:pPr>
        <w:spacing w:after="0" w:line="240" w:lineRule="auto"/>
        <w:textAlignment w:val="baseline"/>
        <w:rPr>
          <w:rFonts w:ascii="Open Sans" w:eastAsia="Times New Roman" w:hAnsi="Open Sans" w:cs="Open Sans"/>
          <w:sz w:val="18"/>
          <w:szCs w:val="18"/>
        </w:rPr>
      </w:pPr>
    </w:p>
    <w:p w14:paraId="73D4ABF2" w14:textId="77777777" w:rsidR="007739DE" w:rsidRPr="004A61C3" w:rsidRDefault="007739DE" w:rsidP="00AE2C1A">
      <w:pPr>
        <w:spacing w:after="0" w:line="240" w:lineRule="auto"/>
        <w:textAlignment w:val="baseline"/>
        <w:rPr>
          <w:rFonts w:ascii="Open Sans" w:eastAsia="Times New Roman" w:hAnsi="Open Sans" w:cs="Open Sans"/>
          <w:sz w:val="18"/>
          <w:szCs w:val="18"/>
        </w:rPr>
      </w:pPr>
    </w:p>
    <w:p w14:paraId="52F2628B" w14:textId="77777777" w:rsidR="007739DE" w:rsidRPr="004A61C3" w:rsidRDefault="007739DE" w:rsidP="00AE2C1A">
      <w:pPr>
        <w:spacing w:after="0" w:line="240" w:lineRule="auto"/>
        <w:textAlignment w:val="baseline"/>
        <w:rPr>
          <w:rFonts w:ascii="Open Sans" w:eastAsia="Times New Roman" w:hAnsi="Open Sans" w:cs="Open Sans"/>
          <w:sz w:val="18"/>
          <w:szCs w:val="18"/>
        </w:rPr>
      </w:pPr>
    </w:p>
    <w:p w14:paraId="29C6DAE7" w14:textId="77777777" w:rsidR="007739DE" w:rsidRPr="004A61C3" w:rsidRDefault="007739DE" w:rsidP="00AE2C1A">
      <w:pPr>
        <w:spacing w:after="0" w:line="240" w:lineRule="auto"/>
        <w:textAlignment w:val="baseline"/>
        <w:rPr>
          <w:rFonts w:ascii="Open Sans" w:eastAsia="Times New Roman" w:hAnsi="Open Sans" w:cs="Open Sans"/>
          <w:sz w:val="18"/>
          <w:szCs w:val="18"/>
        </w:rPr>
      </w:pPr>
    </w:p>
    <w:p w14:paraId="2E212A23" w14:textId="77777777" w:rsidR="00EC3BE0" w:rsidRPr="004A61C3" w:rsidRDefault="00EC3BE0" w:rsidP="00AE2C1A">
      <w:pPr>
        <w:spacing w:after="0" w:line="240" w:lineRule="auto"/>
        <w:textAlignment w:val="baseline"/>
        <w:rPr>
          <w:rFonts w:ascii="Open Sans" w:eastAsia="Times New Roman" w:hAnsi="Open Sans" w:cs="Open Sans"/>
          <w:sz w:val="18"/>
          <w:szCs w:val="18"/>
        </w:rPr>
      </w:pPr>
    </w:p>
    <w:p w14:paraId="2AE92468" w14:textId="77777777" w:rsidR="00EC3BE0" w:rsidRPr="004A61C3" w:rsidRDefault="00EC3BE0" w:rsidP="00AE2C1A">
      <w:pPr>
        <w:spacing w:after="0" w:line="240" w:lineRule="auto"/>
        <w:textAlignment w:val="baseline"/>
        <w:rPr>
          <w:rFonts w:ascii="Open Sans" w:eastAsia="Times New Roman" w:hAnsi="Open Sans" w:cs="Open Sans"/>
          <w:sz w:val="18"/>
          <w:szCs w:val="18"/>
        </w:rPr>
      </w:pPr>
    </w:p>
    <w:p w14:paraId="55868B1F" w14:textId="77777777" w:rsidR="00EC3BE0" w:rsidRPr="004A61C3" w:rsidRDefault="00EC3BE0" w:rsidP="00AE2C1A">
      <w:pPr>
        <w:spacing w:after="0" w:line="240" w:lineRule="auto"/>
        <w:textAlignment w:val="baseline"/>
        <w:rPr>
          <w:rFonts w:ascii="Open Sans" w:eastAsia="Times New Roman" w:hAnsi="Open Sans" w:cs="Open Sans"/>
          <w:sz w:val="18"/>
          <w:szCs w:val="18"/>
        </w:rPr>
      </w:pPr>
    </w:p>
    <w:p w14:paraId="3831EC82" w14:textId="77777777" w:rsidR="00EC3BE0" w:rsidRPr="004A61C3" w:rsidRDefault="00EC3BE0" w:rsidP="00AE2C1A">
      <w:pPr>
        <w:spacing w:after="0" w:line="240" w:lineRule="auto"/>
        <w:textAlignment w:val="baseline"/>
        <w:rPr>
          <w:rFonts w:ascii="Open Sans" w:eastAsia="Times New Roman" w:hAnsi="Open Sans" w:cs="Open Sans"/>
          <w:sz w:val="18"/>
          <w:szCs w:val="18"/>
        </w:rPr>
      </w:pPr>
    </w:p>
    <w:p w14:paraId="4F8A39FA" w14:textId="77777777" w:rsidR="00EC3BE0" w:rsidRPr="004A61C3" w:rsidRDefault="00EC3BE0" w:rsidP="00AE2C1A">
      <w:pPr>
        <w:spacing w:after="0" w:line="240" w:lineRule="auto"/>
        <w:textAlignment w:val="baseline"/>
        <w:rPr>
          <w:rFonts w:ascii="Open Sans" w:eastAsia="Times New Roman" w:hAnsi="Open Sans" w:cs="Open Sans"/>
          <w:sz w:val="18"/>
          <w:szCs w:val="18"/>
        </w:rPr>
      </w:pPr>
    </w:p>
    <w:p w14:paraId="6AA0B349" w14:textId="25FBAC57" w:rsidR="00174433" w:rsidRPr="004A61C3" w:rsidRDefault="00174433" w:rsidP="00AE2C1A">
      <w:pPr>
        <w:spacing w:after="0" w:line="240" w:lineRule="auto"/>
        <w:textAlignment w:val="baseline"/>
        <w:rPr>
          <w:rFonts w:ascii="Open Sans" w:eastAsia="Times New Roman" w:hAnsi="Open Sans" w:cs="Open Sans"/>
          <w:sz w:val="18"/>
          <w:szCs w:val="18"/>
          <w:lang w:eastAsia="zh-CN"/>
        </w:rPr>
      </w:pPr>
    </w:p>
    <w:p w14:paraId="30DE6D2D" w14:textId="77777777" w:rsidR="00EC23EE" w:rsidRPr="004A61C3" w:rsidRDefault="00EC23EE" w:rsidP="00AE2C1A">
      <w:pPr>
        <w:spacing w:after="0" w:line="240" w:lineRule="auto"/>
        <w:textAlignment w:val="baseline"/>
        <w:rPr>
          <w:rFonts w:ascii="Open Sans" w:eastAsia="Times New Roman" w:hAnsi="Open Sans" w:cs="Open Sans"/>
          <w:sz w:val="18"/>
          <w:szCs w:val="18"/>
        </w:rPr>
      </w:pPr>
    </w:p>
    <w:sectPr w:rsidR="00EC23EE" w:rsidRPr="004A61C3" w:rsidSect="00CA5FCA">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3EC53" w14:textId="77777777" w:rsidR="00275B8F" w:rsidRDefault="00275B8F" w:rsidP="00E012FF">
      <w:pPr>
        <w:spacing w:after="0" w:line="240" w:lineRule="auto"/>
      </w:pPr>
      <w:r>
        <w:separator/>
      </w:r>
    </w:p>
  </w:endnote>
  <w:endnote w:type="continuationSeparator" w:id="0">
    <w:p w14:paraId="7630D019" w14:textId="77777777" w:rsidR="00275B8F" w:rsidRDefault="00275B8F" w:rsidP="00E012FF">
      <w:pPr>
        <w:spacing w:after="0" w:line="240" w:lineRule="auto"/>
      </w:pPr>
      <w:r>
        <w:continuationSeparator/>
      </w:r>
    </w:p>
  </w:endnote>
  <w:endnote w:type="continuationNotice" w:id="1">
    <w:p w14:paraId="735ECA32" w14:textId="77777777" w:rsidR="00275B8F" w:rsidRDefault="00275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2520B716" w14:paraId="4E12E79C" w14:textId="77777777" w:rsidTr="2520B716">
      <w:trPr>
        <w:trHeight w:val="300"/>
      </w:trPr>
      <w:tc>
        <w:tcPr>
          <w:tcW w:w="4320" w:type="dxa"/>
        </w:tcPr>
        <w:p w14:paraId="12E1B95B" w14:textId="3AA437CD" w:rsidR="2520B716" w:rsidRDefault="2520B716" w:rsidP="2520B716">
          <w:pPr>
            <w:pStyle w:val="Header"/>
            <w:ind w:left="-115"/>
          </w:pPr>
        </w:p>
      </w:tc>
      <w:tc>
        <w:tcPr>
          <w:tcW w:w="4320" w:type="dxa"/>
        </w:tcPr>
        <w:p w14:paraId="27CAD18A" w14:textId="72F2C219" w:rsidR="2520B716" w:rsidRDefault="2520B716" w:rsidP="2520B716">
          <w:pPr>
            <w:pStyle w:val="Header"/>
            <w:jc w:val="center"/>
          </w:pPr>
        </w:p>
      </w:tc>
      <w:tc>
        <w:tcPr>
          <w:tcW w:w="4320" w:type="dxa"/>
        </w:tcPr>
        <w:p w14:paraId="0C49607B" w14:textId="7A4B5A6B" w:rsidR="2520B716" w:rsidRDefault="2520B716" w:rsidP="2520B716">
          <w:pPr>
            <w:pStyle w:val="Header"/>
            <w:ind w:right="-115"/>
            <w:jc w:val="right"/>
          </w:pPr>
        </w:p>
      </w:tc>
    </w:tr>
  </w:tbl>
  <w:p w14:paraId="22C8389B" w14:textId="6B6AEBB9" w:rsidR="2520B716" w:rsidRDefault="2520B716" w:rsidP="2520B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6CE4" w14:textId="77777777" w:rsidR="00275B8F" w:rsidRDefault="00275B8F" w:rsidP="00E012FF">
      <w:pPr>
        <w:spacing w:after="0" w:line="240" w:lineRule="auto"/>
      </w:pPr>
      <w:r>
        <w:separator/>
      </w:r>
    </w:p>
  </w:footnote>
  <w:footnote w:type="continuationSeparator" w:id="0">
    <w:p w14:paraId="45FFB0D1" w14:textId="77777777" w:rsidR="00275B8F" w:rsidRDefault="00275B8F" w:rsidP="00E012FF">
      <w:pPr>
        <w:spacing w:after="0" w:line="240" w:lineRule="auto"/>
      </w:pPr>
      <w:r>
        <w:continuationSeparator/>
      </w:r>
    </w:p>
  </w:footnote>
  <w:footnote w:type="continuationNotice" w:id="1">
    <w:p w14:paraId="10F5FAA6" w14:textId="77777777" w:rsidR="00275B8F" w:rsidRDefault="00275B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6A3C" w14:textId="0A96AC1D" w:rsidR="00E012FF" w:rsidRDefault="00711CA4">
    <w:pPr>
      <w:pStyle w:val="Header"/>
    </w:pPr>
    <w:r>
      <w:rPr>
        <w:noProof/>
      </w:rPr>
      <w:drawing>
        <wp:anchor distT="0" distB="0" distL="114300" distR="114300" simplePos="0" relativeHeight="251658240" behindDoc="1" locked="0" layoutInCell="1" allowOverlap="1" wp14:anchorId="4B026888" wp14:editId="234FF4C8">
          <wp:simplePos x="0" y="0"/>
          <wp:positionH relativeFrom="column">
            <wp:posOffset>3185795</wp:posOffset>
          </wp:positionH>
          <wp:positionV relativeFrom="paragraph">
            <wp:posOffset>-174665</wp:posOffset>
          </wp:positionV>
          <wp:extent cx="1856740" cy="473075"/>
          <wp:effectExtent l="0" t="0" r="0" b="0"/>
          <wp:wrapNone/>
          <wp:docPr id="185262064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20641"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6740" cy="473075"/>
                  </a:xfrm>
                  <a:prstGeom prst="rect">
                    <a:avLst/>
                  </a:prstGeom>
                </pic:spPr>
              </pic:pic>
            </a:graphicData>
          </a:graphic>
          <wp14:sizeRelH relativeFrom="page">
            <wp14:pctWidth>0</wp14:pctWidth>
          </wp14:sizeRelH>
          <wp14:sizeRelV relativeFrom="page">
            <wp14:pctHeight>0</wp14:pctHeight>
          </wp14:sizeRelV>
        </wp:anchor>
      </w:drawing>
    </w:r>
    <w:r w:rsidR="00E012FF">
      <w:ptab w:relativeTo="margin" w:alignment="center" w:leader="none"/>
    </w:r>
    <w:r w:rsidR="00E012FF">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osHQffQA1hCg/6" int2:id="6jGnbYo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85"/>
    <w:multiLevelType w:val="hybridMultilevel"/>
    <w:tmpl w:val="BD6C4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726F87"/>
    <w:multiLevelType w:val="hybridMultilevel"/>
    <w:tmpl w:val="B52265EA"/>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37B04"/>
    <w:multiLevelType w:val="multilevel"/>
    <w:tmpl w:val="1CFE83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89178A"/>
    <w:multiLevelType w:val="hybridMultilevel"/>
    <w:tmpl w:val="73F26AF4"/>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568B1"/>
    <w:multiLevelType w:val="hybridMultilevel"/>
    <w:tmpl w:val="1AB04C46"/>
    <w:lvl w:ilvl="0" w:tplc="6AC4809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CF1936"/>
    <w:multiLevelType w:val="hybridMultilevel"/>
    <w:tmpl w:val="CBE6EC46"/>
    <w:lvl w:ilvl="0" w:tplc="C8CA7798">
      <w:start w:val="1"/>
      <w:numFmt w:val="decimal"/>
      <w:lvlText w:val="%1)"/>
      <w:lvlJc w:val="left"/>
      <w:pPr>
        <w:ind w:left="450" w:hanging="360"/>
      </w:pPr>
      <w:rPr>
        <w:b w:val="0"/>
        <w:bCs w:val="0"/>
      </w:rPr>
    </w:lvl>
    <w:lvl w:ilvl="1" w:tplc="EEE421BA" w:tentative="1">
      <w:start w:val="1"/>
      <w:numFmt w:val="bullet"/>
      <w:lvlText w:val="o"/>
      <w:lvlJc w:val="left"/>
      <w:pPr>
        <w:ind w:left="1170" w:hanging="360"/>
      </w:pPr>
      <w:rPr>
        <w:rFonts w:ascii="Courier New" w:hAnsi="Courier New" w:hint="default"/>
      </w:rPr>
    </w:lvl>
    <w:lvl w:ilvl="2" w:tplc="21B6B086" w:tentative="1">
      <w:start w:val="1"/>
      <w:numFmt w:val="bullet"/>
      <w:lvlText w:val=""/>
      <w:lvlJc w:val="left"/>
      <w:pPr>
        <w:ind w:left="1890" w:hanging="360"/>
      </w:pPr>
      <w:rPr>
        <w:rFonts w:ascii="Wingdings" w:hAnsi="Wingdings" w:hint="default"/>
      </w:rPr>
    </w:lvl>
    <w:lvl w:ilvl="3" w:tplc="7A4877BC" w:tentative="1">
      <w:start w:val="1"/>
      <w:numFmt w:val="bullet"/>
      <w:lvlText w:val=""/>
      <w:lvlJc w:val="left"/>
      <w:pPr>
        <w:ind w:left="2610" w:hanging="360"/>
      </w:pPr>
      <w:rPr>
        <w:rFonts w:ascii="Symbol" w:hAnsi="Symbol" w:hint="default"/>
      </w:rPr>
    </w:lvl>
    <w:lvl w:ilvl="4" w:tplc="CDB6590E" w:tentative="1">
      <w:start w:val="1"/>
      <w:numFmt w:val="bullet"/>
      <w:lvlText w:val="o"/>
      <w:lvlJc w:val="left"/>
      <w:pPr>
        <w:ind w:left="3330" w:hanging="360"/>
      </w:pPr>
      <w:rPr>
        <w:rFonts w:ascii="Courier New" w:hAnsi="Courier New" w:hint="default"/>
      </w:rPr>
    </w:lvl>
    <w:lvl w:ilvl="5" w:tplc="08D42E46" w:tentative="1">
      <w:start w:val="1"/>
      <w:numFmt w:val="bullet"/>
      <w:lvlText w:val=""/>
      <w:lvlJc w:val="left"/>
      <w:pPr>
        <w:ind w:left="4050" w:hanging="360"/>
      </w:pPr>
      <w:rPr>
        <w:rFonts w:ascii="Wingdings" w:hAnsi="Wingdings" w:hint="default"/>
      </w:rPr>
    </w:lvl>
    <w:lvl w:ilvl="6" w:tplc="AE9C0EAA" w:tentative="1">
      <w:start w:val="1"/>
      <w:numFmt w:val="bullet"/>
      <w:lvlText w:val=""/>
      <w:lvlJc w:val="left"/>
      <w:pPr>
        <w:ind w:left="4770" w:hanging="360"/>
      </w:pPr>
      <w:rPr>
        <w:rFonts w:ascii="Symbol" w:hAnsi="Symbol" w:hint="default"/>
      </w:rPr>
    </w:lvl>
    <w:lvl w:ilvl="7" w:tplc="095EC502" w:tentative="1">
      <w:start w:val="1"/>
      <w:numFmt w:val="bullet"/>
      <w:lvlText w:val="o"/>
      <w:lvlJc w:val="left"/>
      <w:pPr>
        <w:ind w:left="5490" w:hanging="360"/>
      </w:pPr>
      <w:rPr>
        <w:rFonts w:ascii="Courier New" w:hAnsi="Courier New" w:hint="default"/>
      </w:rPr>
    </w:lvl>
    <w:lvl w:ilvl="8" w:tplc="56CC40B2" w:tentative="1">
      <w:start w:val="1"/>
      <w:numFmt w:val="bullet"/>
      <w:lvlText w:val=""/>
      <w:lvlJc w:val="left"/>
      <w:pPr>
        <w:ind w:left="6210" w:hanging="360"/>
      </w:pPr>
      <w:rPr>
        <w:rFonts w:ascii="Wingdings" w:hAnsi="Wingdings" w:hint="default"/>
      </w:rPr>
    </w:lvl>
  </w:abstractNum>
  <w:abstractNum w:abstractNumId="6" w15:restartNumberingAfterBreak="0">
    <w:nsid w:val="26955BD6"/>
    <w:multiLevelType w:val="hybridMultilevel"/>
    <w:tmpl w:val="03AAF6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69C5C49"/>
    <w:multiLevelType w:val="hybridMultilevel"/>
    <w:tmpl w:val="BD481A62"/>
    <w:lvl w:ilvl="0" w:tplc="6AC4809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F3A4B"/>
    <w:multiLevelType w:val="hybridMultilevel"/>
    <w:tmpl w:val="11F64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7E551C"/>
    <w:multiLevelType w:val="hybridMultilevel"/>
    <w:tmpl w:val="D654ECFC"/>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50F30"/>
    <w:multiLevelType w:val="hybridMultilevel"/>
    <w:tmpl w:val="BF2EFCF6"/>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9726F"/>
    <w:multiLevelType w:val="hybridMultilevel"/>
    <w:tmpl w:val="B360EDB2"/>
    <w:lvl w:ilvl="0" w:tplc="6AC4809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8235C"/>
    <w:multiLevelType w:val="hybridMultilevel"/>
    <w:tmpl w:val="5BEA8F5C"/>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232F8"/>
    <w:multiLevelType w:val="hybridMultilevel"/>
    <w:tmpl w:val="F3A8FB0A"/>
    <w:lvl w:ilvl="0" w:tplc="F880F448">
      <w:start w:val="4"/>
      <w:numFmt w:val="bullet"/>
      <w:lvlText w:val="-"/>
      <w:lvlJc w:val="left"/>
      <w:pPr>
        <w:ind w:left="720" w:hanging="360"/>
      </w:pPr>
      <w:rPr>
        <w:rFonts w:ascii="Helvetica" w:eastAsia="Times New Roman" w:hAnsi="Helvetic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A1966"/>
    <w:multiLevelType w:val="hybridMultilevel"/>
    <w:tmpl w:val="1D22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BC0789"/>
    <w:multiLevelType w:val="hybridMultilevel"/>
    <w:tmpl w:val="9244CB9C"/>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F02E1A"/>
    <w:multiLevelType w:val="hybridMultilevel"/>
    <w:tmpl w:val="AA504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FF7096"/>
    <w:multiLevelType w:val="hybridMultilevel"/>
    <w:tmpl w:val="179AF5F8"/>
    <w:lvl w:ilvl="0" w:tplc="FE8ABD90">
      <w:start w:val="5"/>
      <w:numFmt w:val="bullet"/>
      <w:lvlText w:val="-"/>
      <w:lvlJc w:val="left"/>
      <w:pPr>
        <w:ind w:left="720" w:hanging="360"/>
      </w:pPr>
      <w:rPr>
        <w:rFonts w:ascii="Helvetica" w:eastAsia="Times New Roman" w:hAnsi="Helvetic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C6C33"/>
    <w:multiLevelType w:val="hybridMultilevel"/>
    <w:tmpl w:val="285EF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0143F"/>
    <w:multiLevelType w:val="hybridMultilevel"/>
    <w:tmpl w:val="B4DC0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E3578C"/>
    <w:multiLevelType w:val="hybridMultilevel"/>
    <w:tmpl w:val="B4383502"/>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680A8A"/>
    <w:multiLevelType w:val="hybridMultilevel"/>
    <w:tmpl w:val="18A6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F22B3A"/>
    <w:multiLevelType w:val="hybridMultilevel"/>
    <w:tmpl w:val="85EEA3D4"/>
    <w:lvl w:ilvl="0" w:tplc="A5F67592">
      <w:start w:val="1"/>
      <w:numFmt w:val="bullet"/>
      <w:lvlText w:val=""/>
      <w:lvlJc w:val="left"/>
      <w:pPr>
        <w:ind w:left="720" w:hanging="360"/>
      </w:pPr>
      <w:rPr>
        <w:rFonts w:ascii="Symbol" w:hAnsi="Symbol" w:hint="default"/>
      </w:rPr>
    </w:lvl>
    <w:lvl w:ilvl="1" w:tplc="E59E7538">
      <w:start w:val="1"/>
      <w:numFmt w:val="bullet"/>
      <w:lvlText w:val="o"/>
      <w:lvlJc w:val="left"/>
      <w:pPr>
        <w:ind w:left="1440" w:hanging="360"/>
      </w:pPr>
      <w:rPr>
        <w:rFonts w:ascii="Courier New" w:hAnsi="Courier New" w:hint="default"/>
      </w:rPr>
    </w:lvl>
    <w:lvl w:ilvl="2" w:tplc="4128E9FC">
      <w:start w:val="1"/>
      <w:numFmt w:val="bullet"/>
      <w:lvlText w:val=""/>
      <w:lvlJc w:val="left"/>
      <w:pPr>
        <w:ind w:left="2160" w:hanging="360"/>
      </w:pPr>
      <w:rPr>
        <w:rFonts w:ascii="Wingdings" w:hAnsi="Wingdings" w:hint="default"/>
      </w:rPr>
    </w:lvl>
    <w:lvl w:ilvl="3" w:tplc="F998F9AE">
      <w:start w:val="1"/>
      <w:numFmt w:val="bullet"/>
      <w:lvlText w:val=""/>
      <w:lvlJc w:val="left"/>
      <w:pPr>
        <w:ind w:left="2880" w:hanging="360"/>
      </w:pPr>
      <w:rPr>
        <w:rFonts w:ascii="Symbol" w:hAnsi="Symbol" w:hint="default"/>
      </w:rPr>
    </w:lvl>
    <w:lvl w:ilvl="4" w:tplc="31E4878C">
      <w:start w:val="1"/>
      <w:numFmt w:val="bullet"/>
      <w:lvlText w:val="o"/>
      <w:lvlJc w:val="left"/>
      <w:pPr>
        <w:ind w:left="3600" w:hanging="360"/>
      </w:pPr>
      <w:rPr>
        <w:rFonts w:ascii="Courier New" w:hAnsi="Courier New" w:hint="default"/>
      </w:rPr>
    </w:lvl>
    <w:lvl w:ilvl="5" w:tplc="ACEA0A6C">
      <w:start w:val="1"/>
      <w:numFmt w:val="bullet"/>
      <w:lvlText w:val=""/>
      <w:lvlJc w:val="left"/>
      <w:pPr>
        <w:ind w:left="4320" w:hanging="360"/>
      </w:pPr>
      <w:rPr>
        <w:rFonts w:ascii="Wingdings" w:hAnsi="Wingdings" w:hint="default"/>
      </w:rPr>
    </w:lvl>
    <w:lvl w:ilvl="6" w:tplc="4FB4107E">
      <w:start w:val="1"/>
      <w:numFmt w:val="bullet"/>
      <w:lvlText w:val=""/>
      <w:lvlJc w:val="left"/>
      <w:pPr>
        <w:ind w:left="5040" w:hanging="360"/>
      </w:pPr>
      <w:rPr>
        <w:rFonts w:ascii="Symbol" w:hAnsi="Symbol" w:hint="default"/>
      </w:rPr>
    </w:lvl>
    <w:lvl w:ilvl="7" w:tplc="25E40FDE">
      <w:start w:val="1"/>
      <w:numFmt w:val="bullet"/>
      <w:lvlText w:val="o"/>
      <w:lvlJc w:val="left"/>
      <w:pPr>
        <w:ind w:left="5760" w:hanging="360"/>
      </w:pPr>
      <w:rPr>
        <w:rFonts w:ascii="Courier New" w:hAnsi="Courier New" w:hint="default"/>
      </w:rPr>
    </w:lvl>
    <w:lvl w:ilvl="8" w:tplc="F8C42DBC">
      <w:start w:val="1"/>
      <w:numFmt w:val="bullet"/>
      <w:lvlText w:val=""/>
      <w:lvlJc w:val="left"/>
      <w:pPr>
        <w:ind w:left="6480" w:hanging="360"/>
      </w:pPr>
      <w:rPr>
        <w:rFonts w:ascii="Wingdings" w:hAnsi="Wingdings" w:hint="default"/>
      </w:rPr>
    </w:lvl>
  </w:abstractNum>
  <w:abstractNum w:abstractNumId="23" w15:restartNumberingAfterBreak="0">
    <w:nsid w:val="42B7391F"/>
    <w:multiLevelType w:val="hybridMultilevel"/>
    <w:tmpl w:val="2AE01E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2CD7131"/>
    <w:multiLevelType w:val="hybridMultilevel"/>
    <w:tmpl w:val="86027FB6"/>
    <w:lvl w:ilvl="0" w:tplc="6AC48098">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2B73DC"/>
    <w:multiLevelType w:val="hybridMultilevel"/>
    <w:tmpl w:val="E79ABA88"/>
    <w:lvl w:ilvl="0" w:tplc="98D24894">
      <w:start w:val="8"/>
      <w:numFmt w:val="bullet"/>
      <w:lvlText w:val="-"/>
      <w:lvlJc w:val="left"/>
      <w:pPr>
        <w:ind w:left="720" w:hanging="360"/>
      </w:pPr>
      <w:rPr>
        <w:rFonts w:ascii="Helvetica" w:eastAsia="Times New Roman" w:hAnsi="Helvetic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46BAB"/>
    <w:multiLevelType w:val="hybridMultilevel"/>
    <w:tmpl w:val="B4F00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2731A9"/>
    <w:multiLevelType w:val="hybridMultilevel"/>
    <w:tmpl w:val="1A06E2BE"/>
    <w:lvl w:ilvl="0" w:tplc="90A8E1EE">
      <w:start w:val="4"/>
      <w:numFmt w:val="bullet"/>
      <w:lvlText w:val="-"/>
      <w:lvlJc w:val="left"/>
      <w:pPr>
        <w:ind w:left="720" w:hanging="360"/>
      </w:pPr>
      <w:rPr>
        <w:rFonts w:ascii="Helvetica" w:eastAsia="Times New Roman" w:hAnsi="Helvetic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4D043C"/>
    <w:multiLevelType w:val="hybridMultilevel"/>
    <w:tmpl w:val="3CE82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8A81AD9"/>
    <w:multiLevelType w:val="hybridMultilevel"/>
    <w:tmpl w:val="40F45430"/>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BA720E"/>
    <w:multiLevelType w:val="hybridMultilevel"/>
    <w:tmpl w:val="840C2C7E"/>
    <w:lvl w:ilvl="0" w:tplc="CCB85832">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F30B9"/>
    <w:multiLevelType w:val="multilevel"/>
    <w:tmpl w:val="F1A6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85D57"/>
    <w:multiLevelType w:val="hybridMultilevel"/>
    <w:tmpl w:val="4448F7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65F31C0"/>
    <w:multiLevelType w:val="multilevel"/>
    <w:tmpl w:val="D8E8CEC2"/>
    <w:lvl w:ilvl="0">
      <w:start w:val="10"/>
      <w:numFmt w:val="decimal"/>
      <w:lvlText w:val="%1"/>
      <w:lvlJc w:val="left"/>
      <w:pPr>
        <w:ind w:left="360" w:hanging="360"/>
      </w:pPr>
      <w:rPr>
        <w:rFonts w:hint="default"/>
      </w:rPr>
    </w:lvl>
    <w:lvl w:ilvl="1">
      <w:start w:val="1"/>
      <w:numFmt w:val="decimal"/>
      <w:isLgl/>
      <w:lvlText w:val="%1.%2"/>
      <w:lvlJc w:val="left"/>
      <w:pPr>
        <w:ind w:left="420" w:hanging="420"/>
      </w:pPr>
      <w:rPr>
        <w:rFonts w:ascii="Helvetica" w:eastAsiaTheme="minorEastAsia" w:hAnsi="Helvetica" w:cs="Calibri" w:hint="default"/>
        <w:color w:val="000000" w:themeColor="text1"/>
        <w:sz w:val="18"/>
        <w:szCs w:val="18"/>
      </w:rPr>
    </w:lvl>
    <w:lvl w:ilvl="2">
      <w:start w:val="1"/>
      <w:numFmt w:val="decimal"/>
      <w:isLgl/>
      <w:lvlText w:val="%1.%2.%3"/>
      <w:lvlJc w:val="left"/>
      <w:pPr>
        <w:ind w:left="720" w:hanging="720"/>
      </w:pPr>
      <w:rPr>
        <w:rFonts w:ascii="Calibri" w:eastAsiaTheme="minorEastAsia" w:hAnsi="Calibri" w:cs="Calibri" w:hint="default"/>
        <w:color w:val="002060"/>
        <w:sz w:val="24"/>
      </w:rPr>
    </w:lvl>
    <w:lvl w:ilvl="3">
      <w:start w:val="1"/>
      <w:numFmt w:val="decimal"/>
      <w:isLgl/>
      <w:lvlText w:val="%1.%2.%3.%4"/>
      <w:lvlJc w:val="left"/>
      <w:pPr>
        <w:ind w:left="720" w:hanging="720"/>
      </w:pPr>
      <w:rPr>
        <w:rFonts w:ascii="Calibri" w:eastAsiaTheme="minorEastAsia" w:hAnsi="Calibri" w:cs="Calibri" w:hint="default"/>
        <w:color w:val="002060"/>
        <w:sz w:val="24"/>
      </w:rPr>
    </w:lvl>
    <w:lvl w:ilvl="4">
      <w:start w:val="1"/>
      <w:numFmt w:val="decimal"/>
      <w:isLgl/>
      <w:lvlText w:val="%1.%2.%3.%4.%5"/>
      <w:lvlJc w:val="left"/>
      <w:pPr>
        <w:ind w:left="720" w:hanging="720"/>
      </w:pPr>
      <w:rPr>
        <w:rFonts w:ascii="Calibri" w:eastAsiaTheme="minorEastAsia" w:hAnsi="Calibri" w:cs="Calibri" w:hint="default"/>
        <w:color w:val="002060"/>
        <w:sz w:val="24"/>
      </w:rPr>
    </w:lvl>
    <w:lvl w:ilvl="5">
      <w:start w:val="1"/>
      <w:numFmt w:val="decimal"/>
      <w:isLgl/>
      <w:lvlText w:val="%1.%2.%3.%4.%5.%6"/>
      <w:lvlJc w:val="left"/>
      <w:pPr>
        <w:ind w:left="1080" w:hanging="1080"/>
      </w:pPr>
      <w:rPr>
        <w:rFonts w:ascii="Calibri" w:eastAsiaTheme="minorEastAsia" w:hAnsi="Calibri" w:cs="Calibri" w:hint="default"/>
        <w:color w:val="002060"/>
        <w:sz w:val="24"/>
      </w:rPr>
    </w:lvl>
    <w:lvl w:ilvl="6">
      <w:start w:val="1"/>
      <w:numFmt w:val="decimal"/>
      <w:isLgl/>
      <w:lvlText w:val="%1.%2.%3.%4.%5.%6.%7"/>
      <w:lvlJc w:val="left"/>
      <w:pPr>
        <w:ind w:left="1080" w:hanging="1080"/>
      </w:pPr>
      <w:rPr>
        <w:rFonts w:ascii="Calibri" w:eastAsiaTheme="minorEastAsia" w:hAnsi="Calibri" w:cs="Calibri" w:hint="default"/>
        <w:color w:val="002060"/>
        <w:sz w:val="24"/>
      </w:rPr>
    </w:lvl>
    <w:lvl w:ilvl="7">
      <w:start w:val="1"/>
      <w:numFmt w:val="decimal"/>
      <w:isLgl/>
      <w:lvlText w:val="%1.%2.%3.%4.%5.%6.%7.%8"/>
      <w:lvlJc w:val="left"/>
      <w:pPr>
        <w:ind w:left="1440" w:hanging="1440"/>
      </w:pPr>
      <w:rPr>
        <w:rFonts w:ascii="Calibri" w:eastAsiaTheme="minorEastAsia" w:hAnsi="Calibri" w:cs="Calibri" w:hint="default"/>
        <w:color w:val="002060"/>
        <w:sz w:val="24"/>
      </w:rPr>
    </w:lvl>
    <w:lvl w:ilvl="8">
      <w:start w:val="1"/>
      <w:numFmt w:val="decimal"/>
      <w:isLgl/>
      <w:lvlText w:val="%1.%2.%3.%4.%5.%6.%7.%8.%9"/>
      <w:lvlJc w:val="left"/>
      <w:pPr>
        <w:ind w:left="1440" w:hanging="1440"/>
      </w:pPr>
      <w:rPr>
        <w:rFonts w:ascii="Calibri" w:eastAsiaTheme="minorEastAsia" w:hAnsi="Calibri" w:cs="Calibri" w:hint="default"/>
        <w:color w:val="002060"/>
        <w:sz w:val="24"/>
      </w:rPr>
    </w:lvl>
  </w:abstractNum>
  <w:abstractNum w:abstractNumId="34" w15:restartNumberingAfterBreak="0">
    <w:nsid w:val="581F6E57"/>
    <w:multiLevelType w:val="hybridMultilevel"/>
    <w:tmpl w:val="9A1832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E56FC4"/>
    <w:multiLevelType w:val="hybridMultilevel"/>
    <w:tmpl w:val="D4B83EE6"/>
    <w:lvl w:ilvl="0" w:tplc="0128A5B0">
      <w:start w:val="3"/>
      <w:numFmt w:val="bullet"/>
      <w:lvlText w:val="-"/>
      <w:lvlJc w:val="left"/>
      <w:pPr>
        <w:ind w:left="720" w:hanging="360"/>
      </w:pPr>
      <w:rPr>
        <w:rFonts w:ascii="Helvetica" w:eastAsia="Times New Roman" w:hAnsi="Helvetic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4109B"/>
    <w:multiLevelType w:val="hybridMultilevel"/>
    <w:tmpl w:val="6BBA2F0A"/>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4675B"/>
    <w:multiLevelType w:val="hybridMultilevel"/>
    <w:tmpl w:val="DA464822"/>
    <w:lvl w:ilvl="0" w:tplc="CCB85832">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6EB0E82"/>
    <w:multiLevelType w:val="hybridMultilevel"/>
    <w:tmpl w:val="69FEA8F6"/>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72BDA"/>
    <w:multiLevelType w:val="hybridMultilevel"/>
    <w:tmpl w:val="F8BCF694"/>
    <w:lvl w:ilvl="0" w:tplc="CF687C2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F560CC"/>
    <w:multiLevelType w:val="hybridMultilevel"/>
    <w:tmpl w:val="77B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B6663"/>
    <w:multiLevelType w:val="hybridMultilevel"/>
    <w:tmpl w:val="40463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095080">
    <w:abstractNumId w:val="11"/>
  </w:num>
  <w:num w:numId="2" w16cid:durableId="745885048">
    <w:abstractNumId w:val="25"/>
  </w:num>
  <w:num w:numId="3" w16cid:durableId="823013153">
    <w:abstractNumId w:val="24"/>
  </w:num>
  <w:num w:numId="4" w16cid:durableId="323239230">
    <w:abstractNumId w:val="7"/>
  </w:num>
  <w:num w:numId="5" w16cid:durableId="1323774099">
    <w:abstractNumId w:val="17"/>
  </w:num>
  <w:num w:numId="6" w16cid:durableId="607857797">
    <w:abstractNumId w:val="4"/>
  </w:num>
  <w:num w:numId="7" w16cid:durableId="1665276648">
    <w:abstractNumId w:val="13"/>
  </w:num>
  <w:num w:numId="8" w16cid:durableId="848984090">
    <w:abstractNumId w:val="27"/>
  </w:num>
  <w:num w:numId="9" w16cid:durableId="93326355">
    <w:abstractNumId w:val="41"/>
  </w:num>
  <w:num w:numId="10" w16cid:durableId="369231878">
    <w:abstractNumId w:val="35"/>
  </w:num>
  <w:num w:numId="11" w16cid:durableId="2092772209">
    <w:abstractNumId w:val="2"/>
  </w:num>
  <w:num w:numId="12" w16cid:durableId="1944727724">
    <w:abstractNumId w:val="40"/>
  </w:num>
  <w:num w:numId="13" w16cid:durableId="430004651">
    <w:abstractNumId w:val="18"/>
  </w:num>
  <w:num w:numId="14" w16cid:durableId="383453819">
    <w:abstractNumId w:val="14"/>
  </w:num>
  <w:num w:numId="15" w16cid:durableId="403186784">
    <w:abstractNumId w:val="31"/>
  </w:num>
  <w:num w:numId="16" w16cid:durableId="1780566405">
    <w:abstractNumId w:val="33"/>
  </w:num>
  <w:num w:numId="17" w16cid:durableId="602959417">
    <w:abstractNumId w:val="32"/>
  </w:num>
  <w:num w:numId="18" w16cid:durableId="681858728">
    <w:abstractNumId w:val="23"/>
  </w:num>
  <w:num w:numId="19" w16cid:durableId="211618378">
    <w:abstractNumId w:val="22"/>
  </w:num>
  <w:num w:numId="20" w16cid:durableId="1610578994">
    <w:abstractNumId w:val="37"/>
  </w:num>
  <w:num w:numId="21" w16cid:durableId="1529954307">
    <w:abstractNumId w:val="5"/>
  </w:num>
  <w:num w:numId="22" w16cid:durableId="673067119">
    <w:abstractNumId w:val="30"/>
  </w:num>
  <w:num w:numId="23" w16cid:durableId="669285782">
    <w:abstractNumId w:val="26"/>
  </w:num>
  <w:num w:numId="24" w16cid:durableId="1845167547">
    <w:abstractNumId w:val="6"/>
  </w:num>
  <w:num w:numId="25" w16cid:durableId="1206256798">
    <w:abstractNumId w:val="28"/>
  </w:num>
  <w:num w:numId="26" w16cid:durableId="675228303">
    <w:abstractNumId w:val="34"/>
  </w:num>
  <w:num w:numId="27" w16cid:durableId="1870408727">
    <w:abstractNumId w:val="19"/>
  </w:num>
  <w:num w:numId="28" w16cid:durableId="1573158745">
    <w:abstractNumId w:val="21"/>
  </w:num>
  <w:num w:numId="29" w16cid:durableId="1421830295">
    <w:abstractNumId w:val="8"/>
  </w:num>
  <w:num w:numId="30" w16cid:durableId="1346588536">
    <w:abstractNumId w:val="0"/>
  </w:num>
  <w:num w:numId="31" w16cid:durableId="581259844">
    <w:abstractNumId w:val="15"/>
  </w:num>
  <w:num w:numId="32" w16cid:durableId="55594418">
    <w:abstractNumId w:val="36"/>
  </w:num>
  <w:num w:numId="33" w16cid:durableId="931233328">
    <w:abstractNumId w:val="20"/>
  </w:num>
  <w:num w:numId="34" w16cid:durableId="834537190">
    <w:abstractNumId w:val="38"/>
  </w:num>
  <w:num w:numId="35" w16cid:durableId="1924489002">
    <w:abstractNumId w:val="3"/>
  </w:num>
  <w:num w:numId="36" w16cid:durableId="560605854">
    <w:abstractNumId w:val="12"/>
  </w:num>
  <w:num w:numId="37" w16cid:durableId="621427343">
    <w:abstractNumId w:val="29"/>
  </w:num>
  <w:num w:numId="38" w16cid:durableId="2065367450">
    <w:abstractNumId w:val="10"/>
  </w:num>
  <w:num w:numId="39" w16cid:durableId="886450195">
    <w:abstractNumId w:val="1"/>
  </w:num>
  <w:num w:numId="40" w16cid:durableId="1049189070">
    <w:abstractNumId w:val="39"/>
  </w:num>
  <w:num w:numId="41" w16cid:durableId="1978146745">
    <w:abstractNumId w:val="9"/>
  </w:num>
  <w:num w:numId="42" w16cid:durableId="1618758732">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195578"/>
    <w:rsid w:val="00001322"/>
    <w:rsid w:val="000014D5"/>
    <w:rsid w:val="000033C7"/>
    <w:rsid w:val="00004042"/>
    <w:rsid w:val="0000630C"/>
    <w:rsid w:val="00006EE7"/>
    <w:rsid w:val="00006F2A"/>
    <w:rsid w:val="0000709F"/>
    <w:rsid w:val="0000714F"/>
    <w:rsid w:val="000100D5"/>
    <w:rsid w:val="000104FA"/>
    <w:rsid w:val="0001094B"/>
    <w:rsid w:val="000113D5"/>
    <w:rsid w:val="00011502"/>
    <w:rsid w:val="00011830"/>
    <w:rsid w:val="00011A00"/>
    <w:rsid w:val="00011E4C"/>
    <w:rsid w:val="0001295F"/>
    <w:rsid w:val="00012FE2"/>
    <w:rsid w:val="0001407C"/>
    <w:rsid w:val="000147E1"/>
    <w:rsid w:val="00015596"/>
    <w:rsid w:val="0001573D"/>
    <w:rsid w:val="00015D38"/>
    <w:rsid w:val="00015D86"/>
    <w:rsid w:val="00015D97"/>
    <w:rsid w:val="000163A7"/>
    <w:rsid w:val="0002000F"/>
    <w:rsid w:val="00020098"/>
    <w:rsid w:val="00020A26"/>
    <w:rsid w:val="00020B65"/>
    <w:rsid w:val="000216C9"/>
    <w:rsid w:val="000228F3"/>
    <w:rsid w:val="00022C37"/>
    <w:rsid w:val="0002461F"/>
    <w:rsid w:val="00025ACC"/>
    <w:rsid w:val="000262F8"/>
    <w:rsid w:val="00026563"/>
    <w:rsid w:val="000265A0"/>
    <w:rsid w:val="00026E0B"/>
    <w:rsid w:val="00027315"/>
    <w:rsid w:val="00027C40"/>
    <w:rsid w:val="000300CF"/>
    <w:rsid w:val="000302F7"/>
    <w:rsid w:val="000309B0"/>
    <w:rsid w:val="00030C07"/>
    <w:rsid w:val="0003101E"/>
    <w:rsid w:val="000312C4"/>
    <w:rsid w:val="00031A47"/>
    <w:rsid w:val="00031BF2"/>
    <w:rsid w:val="000326D8"/>
    <w:rsid w:val="000332A7"/>
    <w:rsid w:val="00033654"/>
    <w:rsid w:val="000339BC"/>
    <w:rsid w:val="000343E3"/>
    <w:rsid w:val="000345B1"/>
    <w:rsid w:val="00034A6F"/>
    <w:rsid w:val="00035DF5"/>
    <w:rsid w:val="00035E2E"/>
    <w:rsid w:val="00036A75"/>
    <w:rsid w:val="00036AC0"/>
    <w:rsid w:val="00037124"/>
    <w:rsid w:val="0003750C"/>
    <w:rsid w:val="00037C14"/>
    <w:rsid w:val="000400CA"/>
    <w:rsid w:val="00040609"/>
    <w:rsid w:val="00040A7A"/>
    <w:rsid w:val="00041057"/>
    <w:rsid w:val="00041676"/>
    <w:rsid w:val="00041D84"/>
    <w:rsid w:val="00043A0D"/>
    <w:rsid w:val="00043C75"/>
    <w:rsid w:val="0004433E"/>
    <w:rsid w:val="000443FD"/>
    <w:rsid w:val="000453BA"/>
    <w:rsid w:val="00045F41"/>
    <w:rsid w:val="00046E04"/>
    <w:rsid w:val="000479A3"/>
    <w:rsid w:val="00047AAC"/>
    <w:rsid w:val="00050A79"/>
    <w:rsid w:val="0005154D"/>
    <w:rsid w:val="00051ADB"/>
    <w:rsid w:val="00052736"/>
    <w:rsid w:val="000528F7"/>
    <w:rsid w:val="00052E33"/>
    <w:rsid w:val="0005355A"/>
    <w:rsid w:val="00053AA7"/>
    <w:rsid w:val="00054B07"/>
    <w:rsid w:val="00057166"/>
    <w:rsid w:val="000576C5"/>
    <w:rsid w:val="0006045A"/>
    <w:rsid w:val="0006075C"/>
    <w:rsid w:val="00061E5B"/>
    <w:rsid w:val="00062047"/>
    <w:rsid w:val="000623DA"/>
    <w:rsid w:val="00063076"/>
    <w:rsid w:val="00063615"/>
    <w:rsid w:val="00063AE4"/>
    <w:rsid w:val="00064206"/>
    <w:rsid w:val="00064924"/>
    <w:rsid w:val="000656F4"/>
    <w:rsid w:val="00065A82"/>
    <w:rsid w:val="0006604F"/>
    <w:rsid w:val="00066086"/>
    <w:rsid w:val="0006756F"/>
    <w:rsid w:val="00067C5A"/>
    <w:rsid w:val="00070502"/>
    <w:rsid w:val="00070C2D"/>
    <w:rsid w:val="00071507"/>
    <w:rsid w:val="0007186F"/>
    <w:rsid w:val="00071C5C"/>
    <w:rsid w:val="00071FFD"/>
    <w:rsid w:val="0007276D"/>
    <w:rsid w:val="0007278B"/>
    <w:rsid w:val="000729BB"/>
    <w:rsid w:val="00074802"/>
    <w:rsid w:val="00075C1B"/>
    <w:rsid w:val="00076035"/>
    <w:rsid w:val="000805C4"/>
    <w:rsid w:val="00081F49"/>
    <w:rsid w:val="000829AA"/>
    <w:rsid w:val="000835B0"/>
    <w:rsid w:val="00083F14"/>
    <w:rsid w:val="00084475"/>
    <w:rsid w:val="00084C8A"/>
    <w:rsid w:val="00084F3A"/>
    <w:rsid w:val="0008542C"/>
    <w:rsid w:val="00085ADD"/>
    <w:rsid w:val="00085B73"/>
    <w:rsid w:val="00085C81"/>
    <w:rsid w:val="00087D40"/>
    <w:rsid w:val="00091552"/>
    <w:rsid w:val="00091748"/>
    <w:rsid w:val="00091853"/>
    <w:rsid w:val="00092676"/>
    <w:rsid w:val="00092EA7"/>
    <w:rsid w:val="000930F6"/>
    <w:rsid w:val="00093588"/>
    <w:rsid w:val="00094C9A"/>
    <w:rsid w:val="00095597"/>
    <w:rsid w:val="000971B4"/>
    <w:rsid w:val="00097C18"/>
    <w:rsid w:val="000A0C92"/>
    <w:rsid w:val="000A1385"/>
    <w:rsid w:val="000A18D3"/>
    <w:rsid w:val="000A207A"/>
    <w:rsid w:val="000A2785"/>
    <w:rsid w:val="000A2A00"/>
    <w:rsid w:val="000A3D31"/>
    <w:rsid w:val="000A4088"/>
    <w:rsid w:val="000A47F4"/>
    <w:rsid w:val="000A49ED"/>
    <w:rsid w:val="000A53E5"/>
    <w:rsid w:val="000A637E"/>
    <w:rsid w:val="000A6C7E"/>
    <w:rsid w:val="000A7773"/>
    <w:rsid w:val="000A78D6"/>
    <w:rsid w:val="000A7C5F"/>
    <w:rsid w:val="000B0833"/>
    <w:rsid w:val="000B13C8"/>
    <w:rsid w:val="000B18A0"/>
    <w:rsid w:val="000B1BE6"/>
    <w:rsid w:val="000B27E9"/>
    <w:rsid w:val="000B27FB"/>
    <w:rsid w:val="000B2B9C"/>
    <w:rsid w:val="000B2F70"/>
    <w:rsid w:val="000B48A1"/>
    <w:rsid w:val="000B580C"/>
    <w:rsid w:val="000B658F"/>
    <w:rsid w:val="000B6EFB"/>
    <w:rsid w:val="000B7755"/>
    <w:rsid w:val="000B7CE1"/>
    <w:rsid w:val="000C002E"/>
    <w:rsid w:val="000C076E"/>
    <w:rsid w:val="000C0C70"/>
    <w:rsid w:val="000C0FF6"/>
    <w:rsid w:val="000C13ED"/>
    <w:rsid w:val="000C21A8"/>
    <w:rsid w:val="000C32CE"/>
    <w:rsid w:val="000C3A0C"/>
    <w:rsid w:val="000C3C2E"/>
    <w:rsid w:val="000C42AB"/>
    <w:rsid w:val="000C4F5B"/>
    <w:rsid w:val="000C5EAE"/>
    <w:rsid w:val="000C6C95"/>
    <w:rsid w:val="000C6CA7"/>
    <w:rsid w:val="000C75BA"/>
    <w:rsid w:val="000C7761"/>
    <w:rsid w:val="000C78BF"/>
    <w:rsid w:val="000D0087"/>
    <w:rsid w:val="000D04A6"/>
    <w:rsid w:val="000D0ABD"/>
    <w:rsid w:val="000D11FB"/>
    <w:rsid w:val="000D3609"/>
    <w:rsid w:val="000D4760"/>
    <w:rsid w:val="000D4B45"/>
    <w:rsid w:val="000D5F29"/>
    <w:rsid w:val="000D665C"/>
    <w:rsid w:val="000D66F8"/>
    <w:rsid w:val="000D6E2B"/>
    <w:rsid w:val="000D746A"/>
    <w:rsid w:val="000D780F"/>
    <w:rsid w:val="000D7914"/>
    <w:rsid w:val="000D7D7A"/>
    <w:rsid w:val="000E0943"/>
    <w:rsid w:val="000E16CE"/>
    <w:rsid w:val="000E27B3"/>
    <w:rsid w:val="000E289C"/>
    <w:rsid w:val="000E2C64"/>
    <w:rsid w:val="000E36A7"/>
    <w:rsid w:val="000E3CE9"/>
    <w:rsid w:val="000E3F32"/>
    <w:rsid w:val="000E406C"/>
    <w:rsid w:val="000E4618"/>
    <w:rsid w:val="000E4C1A"/>
    <w:rsid w:val="000E5289"/>
    <w:rsid w:val="000E5A65"/>
    <w:rsid w:val="000E6122"/>
    <w:rsid w:val="000E62C2"/>
    <w:rsid w:val="000E63A6"/>
    <w:rsid w:val="000E722D"/>
    <w:rsid w:val="000E7D8B"/>
    <w:rsid w:val="000E7F7F"/>
    <w:rsid w:val="000F0A30"/>
    <w:rsid w:val="000F1300"/>
    <w:rsid w:val="000F1BDD"/>
    <w:rsid w:val="000F1D2C"/>
    <w:rsid w:val="000F36E2"/>
    <w:rsid w:val="000F3B47"/>
    <w:rsid w:val="000F3FFC"/>
    <w:rsid w:val="000F417C"/>
    <w:rsid w:val="000F445E"/>
    <w:rsid w:val="000F4475"/>
    <w:rsid w:val="000F467E"/>
    <w:rsid w:val="000F5233"/>
    <w:rsid w:val="000F56F8"/>
    <w:rsid w:val="000F616C"/>
    <w:rsid w:val="000F6791"/>
    <w:rsid w:val="000F6D2C"/>
    <w:rsid w:val="000F6E54"/>
    <w:rsid w:val="000F730D"/>
    <w:rsid w:val="000F7BF7"/>
    <w:rsid w:val="0010017C"/>
    <w:rsid w:val="0010027A"/>
    <w:rsid w:val="001005C3"/>
    <w:rsid w:val="00100D3A"/>
    <w:rsid w:val="00100E76"/>
    <w:rsid w:val="00100FC2"/>
    <w:rsid w:val="00101025"/>
    <w:rsid w:val="001011D3"/>
    <w:rsid w:val="00101AB8"/>
    <w:rsid w:val="00101EA9"/>
    <w:rsid w:val="00101F94"/>
    <w:rsid w:val="001023BF"/>
    <w:rsid w:val="001028A9"/>
    <w:rsid w:val="001038E4"/>
    <w:rsid w:val="0010475D"/>
    <w:rsid w:val="0010530B"/>
    <w:rsid w:val="001053EF"/>
    <w:rsid w:val="00105528"/>
    <w:rsid w:val="00105EC3"/>
    <w:rsid w:val="00106229"/>
    <w:rsid w:val="001071FC"/>
    <w:rsid w:val="0011020E"/>
    <w:rsid w:val="00110733"/>
    <w:rsid w:val="00110770"/>
    <w:rsid w:val="0011145E"/>
    <w:rsid w:val="00111876"/>
    <w:rsid w:val="00111B56"/>
    <w:rsid w:val="00111B84"/>
    <w:rsid w:val="00112E17"/>
    <w:rsid w:val="00113308"/>
    <w:rsid w:val="001134F4"/>
    <w:rsid w:val="00113F8C"/>
    <w:rsid w:val="00114197"/>
    <w:rsid w:val="00114354"/>
    <w:rsid w:val="0011573F"/>
    <w:rsid w:val="00116302"/>
    <w:rsid w:val="001166F1"/>
    <w:rsid w:val="00116766"/>
    <w:rsid w:val="0011741E"/>
    <w:rsid w:val="00117AB3"/>
    <w:rsid w:val="00117D4C"/>
    <w:rsid w:val="0012096E"/>
    <w:rsid w:val="0012119F"/>
    <w:rsid w:val="00121423"/>
    <w:rsid w:val="0012265B"/>
    <w:rsid w:val="00123327"/>
    <w:rsid w:val="0012361B"/>
    <w:rsid w:val="0012373D"/>
    <w:rsid w:val="001238D2"/>
    <w:rsid w:val="00123E07"/>
    <w:rsid w:val="00123E2D"/>
    <w:rsid w:val="00124595"/>
    <w:rsid w:val="00124980"/>
    <w:rsid w:val="001250D8"/>
    <w:rsid w:val="00126D25"/>
    <w:rsid w:val="001274AB"/>
    <w:rsid w:val="0012763C"/>
    <w:rsid w:val="001279C9"/>
    <w:rsid w:val="001304CE"/>
    <w:rsid w:val="0013096C"/>
    <w:rsid w:val="00130D34"/>
    <w:rsid w:val="00131552"/>
    <w:rsid w:val="00131C9D"/>
    <w:rsid w:val="001327FF"/>
    <w:rsid w:val="001329CC"/>
    <w:rsid w:val="00133C85"/>
    <w:rsid w:val="001343DD"/>
    <w:rsid w:val="001344DB"/>
    <w:rsid w:val="00134DF1"/>
    <w:rsid w:val="001361D0"/>
    <w:rsid w:val="00136551"/>
    <w:rsid w:val="001365EE"/>
    <w:rsid w:val="0013731B"/>
    <w:rsid w:val="00137521"/>
    <w:rsid w:val="001375C9"/>
    <w:rsid w:val="00137624"/>
    <w:rsid w:val="00137666"/>
    <w:rsid w:val="00137F9A"/>
    <w:rsid w:val="00140F72"/>
    <w:rsid w:val="001414B9"/>
    <w:rsid w:val="00141ADD"/>
    <w:rsid w:val="00142380"/>
    <w:rsid w:val="00142756"/>
    <w:rsid w:val="0014312A"/>
    <w:rsid w:val="0014326F"/>
    <w:rsid w:val="001444BC"/>
    <w:rsid w:val="00144AEC"/>
    <w:rsid w:val="00145598"/>
    <w:rsid w:val="00147B64"/>
    <w:rsid w:val="00151956"/>
    <w:rsid w:val="00152025"/>
    <w:rsid w:val="00152997"/>
    <w:rsid w:val="00153C5B"/>
    <w:rsid w:val="00153E06"/>
    <w:rsid w:val="00154005"/>
    <w:rsid w:val="00154187"/>
    <w:rsid w:val="00154DC3"/>
    <w:rsid w:val="00156347"/>
    <w:rsid w:val="0015641E"/>
    <w:rsid w:val="001564AB"/>
    <w:rsid w:val="00156BE0"/>
    <w:rsid w:val="001572DD"/>
    <w:rsid w:val="001577DB"/>
    <w:rsid w:val="001605A9"/>
    <w:rsid w:val="00160D0F"/>
    <w:rsid w:val="00162972"/>
    <w:rsid w:val="00162C46"/>
    <w:rsid w:val="001632E2"/>
    <w:rsid w:val="001633CB"/>
    <w:rsid w:val="001639AB"/>
    <w:rsid w:val="0016410C"/>
    <w:rsid w:val="00164586"/>
    <w:rsid w:val="00165A59"/>
    <w:rsid w:val="00166FEF"/>
    <w:rsid w:val="0016724E"/>
    <w:rsid w:val="001673A4"/>
    <w:rsid w:val="00167A1E"/>
    <w:rsid w:val="00167B27"/>
    <w:rsid w:val="0017078E"/>
    <w:rsid w:val="001708B9"/>
    <w:rsid w:val="001709FC"/>
    <w:rsid w:val="00170D78"/>
    <w:rsid w:val="00170EC9"/>
    <w:rsid w:val="0017187C"/>
    <w:rsid w:val="00172620"/>
    <w:rsid w:val="0017291D"/>
    <w:rsid w:val="001735E8"/>
    <w:rsid w:val="00174433"/>
    <w:rsid w:val="001746AF"/>
    <w:rsid w:val="00174E0F"/>
    <w:rsid w:val="00175134"/>
    <w:rsid w:val="0017521B"/>
    <w:rsid w:val="00175A00"/>
    <w:rsid w:val="00176029"/>
    <w:rsid w:val="00176C1D"/>
    <w:rsid w:val="001770D6"/>
    <w:rsid w:val="00177225"/>
    <w:rsid w:val="00177B5A"/>
    <w:rsid w:val="00177D82"/>
    <w:rsid w:val="00181444"/>
    <w:rsid w:val="001816B4"/>
    <w:rsid w:val="001818CC"/>
    <w:rsid w:val="0018256E"/>
    <w:rsid w:val="00183726"/>
    <w:rsid w:val="00183BDF"/>
    <w:rsid w:val="001850F2"/>
    <w:rsid w:val="001851A1"/>
    <w:rsid w:val="00185341"/>
    <w:rsid w:val="00186158"/>
    <w:rsid w:val="0018651B"/>
    <w:rsid w:val="00187068"/>
    <w:rsid w:val="001875B1"/>
    <w:rsid w:val="001906F7"/>
    <w:rsid w:val="0019087D"/>
    <w:rsid w:val="001910B2"/>
    <w:rsid w:val="00192776"/>
    <w:rsid w:val="00193061"/>
    <w:rsid w:val="0019374F"/>
    <w:rsid w:val="001959E8"/>
    <w:rsid w:val="00196BA4"/>
    <w:rsid w:val="001974BA"/>
    <w:rsid w:val="0019777E"/>
    <w:rsid w:val="001A039C"/>
    <w:rsid w:val="001A11A0"/>
    <w:rsid w:val="001A12FD"/>
    <w:rsid w:val="001A1EBA"/>
    <w:rsid w:val="001A20C8"/>
    <w:rsid w:val="001A2648"/>
    <w:rsid w:val="001A3232"/>
    <w:rsid w:val="001A4362"/>
    <w:rsid w:val="001A4C02"/>
    <w:rsid w:val="001A53BA"/>
    <w:rsid w:val="001A5F50"/>
    <w:rsid w:val="001A5F89"/>
    <w:rsid w:val="001A62A7"/>
    <w:rsid w:val="001A7028"/>
    <w:rsid w:val="001A7913"/>
    <w:rsid w:val="001B06A4"/>
    <w:rsid w:val="001B07D8"/>
    <w:rsid w:val="001B123D"/>
    <w:rsid w:val="001B144E"/>
    <w:rsid w:val="001B17F2"/>
    <w:rsid w:val="001B1ABA"/>
    <w:rsid w:val="001B22FF"/>
    <w:rsid w:val="001B2C3C"/>
    <w:rsid w:val="001B2D51"/>
    <w:rsid w:val="001B3004"/>
    <w:rsid w:val="001B3BEB"/>
    <w:rsid w:val="001B3D55"/>
    <w:rsid w:val="001B408D"/>
    <w:rsid w:val="001B4212"/>
    <w:rsid w:val="001B438B"/>
    <w:rsid w:val="001B54AD"/>
    <w:rsid w:val="001B5C46"/>
    <w:rsid w:val="001B5DBE"/>
    <w:rsid w:val="001B65C5"/>
    <w:rsid w:val="001B76C4"/>
    <w:rsid w:val="001B78D6"/>
    <w:rsid w:val="001C04C2"/>
    <w:rsid w:val="001C0860"/>
    <w:rsid w:val="001C1461"/>
    <w:rsid w:val="001C20F2"/>
    <w:rsid w:val="001C23B7"/>
    <w:rsid w:val="001C2779"/>
    <w:rsid w:val="001C2EF9"/>
    <w:rsid w:val="001C2F18"/>
    <w:rsid w:val="001C3A35"/>
    <w:rsid w:val="001C3E05"/>
    <w:rsid w:val="001C3E14"/>
    <w:rsid w:val="001C41DE"/>
    <w:rsid w:val="001C43E9"/>
    <w:rsid w:val="001C453E"/>
    <w:rsid w:val="001C59D8"/>
    <w:rsid w:val="001C7D5A"/>
    <w:rsid w:val="001D06DB"/>
    <w:rsid w:val="001D18BD"/>
    <w:rsid w:val="001D23B9"/>
    <w:rsid w:val="001D4676"/>
    <w:rsid w:val="001D4BA2"/>
    <w:rsid w:val="001D5DA6"/>
    <w:rsid w:val="001D5EE1"/>
    <w:rsid w:val="001D65B3"/>
    <w:rsid w:val="001D6F9E"/>
    <w:rsid w:val="001D70E5"/>
    <w:rsid w:val="001E01E9"/>
    <w:rsid w:val="001E0A1D"/>
    <w:rsid w:val="001E0B93"/>
    <w:rsid w:val="001E2A6D"/>
    <w:rsid w:val="001E2FB1"/>
    <w:rsid w:val="001E37A7"/>
    <w:rsid w:val="001E4043"/>
    <w:rsid w:val="001E65F7"/>
    <w:rsid w:val="001E707F"/>
    <w:rsid w:val="001E717F"/>
    <w:rsid w:val="001E756A"/>
    <w:rsid w:val="001E7C58"/>
    <w:rsid w:val="001F0C9C"/>
    <w:rsid w:val="001F0E93"/>
    <w:rsid w:val="001F0FF2"/>
    <w:rsid w:val="001F1138"/>
    <w:rsid w:val="001F178D"/>
    <w:rsid w:val="001F1C05"/>
    <w:rsid w:val="001F21DA"/>
    <w:rsid w:val="001F38D1"/>
    <w:rsid w:val="001F39FA"/>
    <w:rsid w:val="001F47F2"/>
    <w:rsid w:val="001F5ABB"/>
    <w:rsid w:val="001F5ACC"/>
    <w:rsid w:val="001F5E72"/>
    <w:rsid w:val="001F665E"/>
    <w:rsid w:val="001F6B8C"/>
    <w:rsid w:val="001F7942"/>
    <w:rsid w:val="00200180"/>
    <w:rsid w:val="0020090A"/>
    <w:rsid w:val="00200A55"/>
    <w:rsid w:val="0020146A"/>
    <w:rsid w:val="0020159C"/>
    <w:rsid w:val="00201DBC"/>
    <w:rsid w:val="00201DEA"/>
    <w:rsid w:val="00202220"/>
    <w:rsid w:val="00202C25"/>
    <w:rsid w:val="00202DC5"/>
    <w:rsid w:val="00203BE8"/>
    <w:rsid w:val="00203E4F"/>
    <w:rsid w:val="00203F3B"/>
    <w:rsid w:val="00204819"/>
    <w:rsid w:val="002049EE"/>
    <w:rsid w:val="00204C5D"/>
    <w:rsid w:val="00204F66"/>
    <w:rsid w:val="00205E8F"/>
    <w:rsid w:val="002068A7"/>
    <w:rsid w:val="00210106"/>
    <w:rsid w:val="002126C9"/>
    <w:rsid w:val="00212EF2"/>
    <w:rsid w:val="00214C28"/>
    <w:rsid w:val="00214D80"/>
    <w:rsid w:val="002154A0"/>
    <w:rsid w:val="00216433"/>
    <w:rsid w:val="002201ED"/>
    <w:rsid w:val="00221C40"/>
    <w:rsid w:val="00222004"/>
    <w:rsid w:val="002225B9"/>
    <w:rsid w:val="002230D1"/>
    <w:rsid w:val="002234D4"/>
    <w:rsid w:val="00223C5A"/>
    <w:rsid w:val="00225F08"/>
    <w:rsid w:val="00226E9E"/>
    <w:rsid w:val="00227317"/>
    <w:rsid w:val="00227BDA"/>
    <w:rsid w:val="00227DCD"/>
    <w:rsid w:val="002302B1"/>
    <w:rsid w:val="00230523"/>
    <w:rsid w:val="00230D21"/>
    <w:rsid w:val="00230EC6"/>
    <w:rsid w:val="002328A9"/>
    <w:rsid w:val="002329B0"/>
    <w:rsid w:val="00233CF8"/>
    <w:rsid w:val="00234119"/>
    <w:rsid w:val="00234BC0"/>
    <w:rsid w:val="00235367"/>
    <w:rsid w:val="0023717F"/>
    <w:rsid w:val="00237DA9"/>
    <w:rsid w:val="00242A5B"/>
    <w:rsid w:val="0024316A"/>
    <w:rsid w:val="00243DC3"/>
    <w:rsid w:val="002442DF"/>
    <w:rsid w:val="00244E20"/>
    <w:rsid w:val="0024711C"/>
    <w:rsid w:val="00250CB7"/>
    <w:rsid w:val="002512A0"/>
    <w:rsid w:val="00251A3B"/>
    <w:rsid w:val="00251EC5"/>
    <w:rsid w:val="002522A9"/>
    <w:rsid w:val="00252319"/>
    <w:rsid w:val="002523AE"/>
    <w:rsid w:val="00252CC1"/>
    <w:rsid w:val="00252E07"/>
    <w:rsid w:val="002537F2"/>
    <w:rsid w:val="00255156"/>
    <w:rsid w:val="00255E69"/>
    <w:rsid w:val="00257FA9"/>
    <w:rsid w:val="0026119B"/>
    <w:rsid w:val="002613CC"/>
    <w:rsid w:val="00261469"/>
    <w:rsid w:val="002615A1"/>
    <w:rsid w:val="00261A37"/>
    <w:rsid w:val="00261D37"/>
    <w:rsid w:val="00261EBC"/>
    <w:rsid w:val="00261F89"/>
    <w:rsid w:val="002621C6"/>
    <w:rsid w:val="00262560"/>
    <w:rsid w:val="00262E62"/>
    <w:rsid w:val="002634BE"/>
    <w:rsid w:val="00263B54"/>
    <w:rsid w:val="00264064"/>
    <w:rsid w:val="00264686"/>
    <w:rsid w:val="00264CE1"/>
    <w:rsid w:val="002677AF"/>
    <w:rsid w:val="002702BE"/>
    <w:rsid w:val="0027109C"/>
    <w:rsid w:val="0027130D"/>
    <w:rsid w:val="0027235F"/>
    <w:rsid w:val="00272FBA"/>
    <w:rsid w:val="0027348D"/>
    <w:rsid w:val="00274014"/>
    <w:rsid w:val="002748B4"/>
    <w:rsid w:val="00274D26"/>
    <w:rsid w:val="00275998"/>
    <w:rsid w:val="00275B8F"/>
    <w:rsid w:val="00275C75"/>
    <w:rsid w:val="00275FFB"/>
    <w:rsid w:val="002762D1"/>
    <w:rsid w:val="0027663D"/>
    <w:rsid w:val="00276795"/>
    <w:rsid w:val="00276A8C"/>
    <w:rsid w:val="0027704A"/>
    <w:rsid w:val="00277A55"/>
    <w:rsid w:val="0028003B"/>
    <w:rsid w:val="002800A9"/>
    <w:rsid w:val="00280696"/>
    <w:rsid w:val="0028105F"/>
    <w:rsid w:val="00281186"/>
    <w:rsid w:val="00281AFB"/>
    <w:rsid w:val="00282E7C"/>
    <w:rsid w:val="00283406"/>
    <w:rsid w:val="0028349E"/>
    <w:rsid w:val="00284BCB"/>
    <w:rsid w:val="00285506"/>
    <w:rsid w:val="0028572C"/>
    <w:rsid w:val="00285769"/>
    <w:rsid w:val="00287388"/>
    <w:rsid w:val="002875A6"/>
    <w:rsid w:val="00287B1D"/>
    <w:rsid w:val="00290508"/>
    <w:rsid w:val="0029110D"/>
    <w:rsid w:val="002912B4"/>
    <w:rsid w:val="00291493"/>
    <w:rsid w:val="0029234E"/>
    <w:rsid w:val="00292415"/>
    <w:rsid w:val="00292712"/>
    <w:rsid w:val="0029281F"/>
    <w:rsid w:val="00293B27"/>
    <w:rsid w:val="00294362"/>
    <w:rsid w:val="00294394"/>
    <w:rsid w:val="00294840"/>
    <w:rsid w:val="0029488E"/>
    <w:rsid w:val="00295081"/>
    <w:rsid w:val="00296747"/>
    <w:rsid w:val="00296BC9"/>
    <w:rsid w:val="0029701B"/>
    <w:rsid w:val="002971EA"/>
    <w:rsid w:val="002A21A9"/>
    <w:rsid w:val="002A26D6"/>
    <w:rsid w:val="002A3529"/>
    <w:rsid w:val="002A490D"/>
    <w:rsid w:val="002A5081"/>
    <w:rsid w:val="002A514E"/>
    <w:rsid w:val="002A56F4"/>
    <w:rsid w:val="002A5FBC"/>
    <w:rsid w:val="002A7484"/>
    <w:rsid w:val="002A74FF"/>
    <w:rsid w:val="002A77AE"/>
    <w:rsid w:val="002A7835"/>
    <w:rsid w:val="002A7C94"/>
    <w:rsid w:val="002B0756"/>
    <w:rsid w:val="002B1200"/>
    <w:rsid w:val="002B1D59"/>
    <w:rsid w:val="002B1E76"/>
    <w:rsid w:val="002B30CC"/>
    <w:rsid w:val="002B4450"/>
    <w:rsid w:val="002B4F86"/>
    <w:rsid w:val="002B4FC6"/>
    <w:rsid w:val="002B6039"/>
    <w:rsid w:val="002B659C"/>
    <w:rsid w:val="002B71C8"/>
    <w:rsid w:val="002C0844"/>
    <w:rsid w:val="002C1640"/>
    <w:rsid w:val="002C1EAE"/>
    <w:rsid w:val="002C1FE9"/>
    <w:rsid w:val="002C23B1"/>
    <w:rsid w:val="002C2C6C"/>
    <w:rsid w:val="002C37B7"/>
    <w:rsid w:val="002C382D"/>
    <w:rsid w:val="002C3BCE"/>
    <w:rsid w:val="002C42A8"/>
    <w:rsid w:val="002C51FF"/>
    <w:rsid w:val="002C7057"/>
    <w:rsid w:val="002C715B"/>
    <w:rsid w:val="002C74AD"/>
    <w:rsid w:val="002C7815"/>
    <w:rsid w:val="002D03E5"/>
    <w:rsid w:val="002D1A14"/>
    <w:rsid w:val="002D2165"/>
    <w:rsid w:val="002D2E1E"/>
    <w:rsid w:val="002D3466"/>
    <w:rsid w:val="002D3614"/>
    <w:rsid w:val="002D38E9"/>
    <w:rsid w:val="002D39E8"/>
    <w:rsid w:val="002D3DE1"/>
    <w:rsid w:val="002D4195"/>
    <w:rsid w:val="002E088A"/>
    <w:rsid w:val="002E0FA5"/>
    <w:rsid w:val="002E35B7"/>
    <w:rsid w:val="002E39E6"/>
    <w:rsid w:val="002E47BA"/>
    <w:rsid w:val="002E5904"/>
    <w:rsid w:val="002E6128"/>
    <w:rsid w:val="002E69FB"/>
    <w:rsid w:val="002E6CC5"/>
    <w:rsid w:val="002E6E04"/>
    <w:rsid w:val="002E751C"/>
    <w:rsid w:val="002F0239"/>
    <w:rsid w:val="002F07D9"/>
    <w:rsid w:val="002F27E6"/>
    <w:rsid w:val="002F2FF6"/>
    <w:rsid w:val="002F321A"/>
    <w:rsid w:val="002F3955"/>
    <w:rsid w:val="002F460B"/>
    <w:rsid w:val="002F668D"/>
    <w:rsid w:val="002F67C6"/>
    <w:rsid w:val="002F68F6"/>
    <w:rsid w:val="002F6980"/>
    <w:rsid w:val="002F6FC9"/>
    <w:rsid w:val="003004A3"/>
    <w:rsid w:val="003008D2"/>
    <w:rsid w:val="00301786"/>
    <w:rsid w:val="00301A72"/>
    <w:rsid w:val="00301AF3"/>
    <w:rsid w:val="00301C23"/>
    <w:rsid w:val="00302037"/>
    <w:rsid w:val="00302484"/>
    <w:rsid w:val="00302717"/>
    <w:rsid w:val="00302B53"/>
    <w:rsid w:val="00302DF5"/>
    <w:rsid w:val="003031C0"/>
    <w:rsid w:val="00303AA5"/>
    <w:rsid w:val="003048B0"/>
    <w:rsid w:val="00306A20"/>
    <w:rsid w:val="00306D7F"/>
    <w:rsid w:val="00307873"/>
    <w:rsid w:val="00307A94"/>
    <w:rsid w:val="00310986"/>
    <w:rsid w:val="00310A49"/>
    <w:rsid w:val="00310F8B"/>
    <w:rsid w:val="003115BF"/>
    <w:rsid w:val="00311B01"/>
    <w:rsid w:val="00312488"/>
    <w:rsid w:val="003130AD"/>
    <w:rsid w:val="00313376"/>
    <w:rsid w:val="00313C72"/>
    <w:rsid w:val="00314183"/>
    <w:rsid w:val="0031478E"/>
    <w:rsid w:val="00315A5F"/>
    <w:rsid w:val="00316B7D"/>
    <w:rsid w:val="00316E2C"/>
    <w:rsid w:val="003170FB"/>
    <w:rsid w:val="003173AD"/>
    <w:rsid w:val="003173BE"/>
    <w:rsid w:val="00317640"/>
    <w:rsid w:val="003178A5"/>
    <w:rsid w:val="00317B95"/>
    <w:rsid w:val="00317F05"/>
    <w:rsid w:val="0032010D"/>
    <w:rsid w:val="00320959"/>
    <w:rsid w:val="00321BD3"/>
    <w:rsid w:val="00322256"/>
    <w:rsid w:val="00323238"/>
    <w:rsid w:val="00323B07"/>
    <w:rsid w:val="00323BEE"/>
    <w:rsid w:val="00323C47"/>
    <w:rsid w:val="00323EFC"/>
    <w:rsid w:val="00323FF5"/>
    <w:rsid w:val="00324381"/>
    <w:rsid w:val="003245B5"/>
    <w:rsid w:val="003247DA"/>
    <w:rsid w:val="00324AA8"/>
    <w:rsid w:val="00325674"/>
    <w:rsid w:val="00325821"/>
    <w:rsid w:val="00325F2A"/>
    <w:rsid w:val="003260AB"/>
    <w:rsid w:val="00326227"/>
    <w:rsid w:val="0032674F"/>
    <w:rsid w:val="0032790A"/>
    <w:rsid w:val="00327EBA"/>
    <w:rsid w:val="003314E4"/>
    <w:rsid w:val="00331A91"/>
    <w:rsid w:val="0033238C"/>
    <w:rsid w:val="00332F6B"/>
    <w:rsid w:val="0033432C"/>
    <w:rsid w:val="00335D5C"/>
    <w:rsid w:val="00337590"/>
    <w:rsid w:val="0033785E"/>
    <w:rsid w:val="0034087A"/>
    <w:rsid w:val="003422F4"/>
    <w:rsid w:val="0034276B"/>
    <w:rsid w:val="00342800"/>
    <w:rsid w:val="00342A25"/>
    <w:rsid w:val="00342C71"/>
    <w:rsid w:val="00342F12"/>
    <w:rsid w:val="00343517"/>
    <w:rsid w:val="003441E5"/>
    <w:rsid w:val="003446A5"/>
    <w:rsid w:val="00344903"/>
    <w:rsid w:val="00344A27"/>
    <w:rsid w:val="00344E3F"/>
    <w:rsid w:val="00345796"/>
    <w:rsid w:val="00346B3A"/>
    <w:rsid w:val="00350351"/>
    <w:rsid w:val="00350D8C"/>
    <w:rsid w:val="00351610"/>
    <w:rsid w:val="0035257D"/>
    <w:rsid w:val="00353A8D"/>
    <w:rsid w:val="003548B2"/>
    <w:rsid w:val="003554C9"/>
    <w:rsid w:val="00355D72"/>
    <w:rsid w:val="00356073"/>
    <w:rsid w:val="0035699F"/>
    <w:rsid w:val="00356B12"/>
    <w:rsid w:val="00356E7E"/>
    <w:rsid w:val="0036083E"/>
    <w:rsid w:val="00360A9C"/>
    <w:rsid w:val="0036141D"/>
    <w:rsid w:val="00361543"/>
    <w:rsid w:val="003616AC"/>
    <w:rsid w:val="00362647"/>
    <w:rsid w:val="00363257"/>
    <w:rsid w:val="0036331A"/>
    <w:rsid w:val="0036353E"/>
    <w:rsid w:val="003636BD"/>
    <w:rsid w:val="0036396B"/>
    <w:rsid w:val="0036415A"/>
    <w:rsid w:val="00364C83"/>
    <w:rsid w:val="00364E0C"/>
    <w:rsid w:val="003660C6"/>
    <w:rsid w:val="00366293"/>
    <w:rsid w:val="00366FFA"/>
    <w:rsid w:val="00367053"/>
    <w:rsid w:val="00370A05"/>
    <w:rsid w:val="00370B40"/>
    <w:rsid w:val="00370FBA"/>
    <w:rsid w:val="003713D4"/>
    <w:rsid w:val="00371864"/>
    <w:rsid w:val="00371DE2"/>
    <w:rsid w:val="003726F6"/>
    <w:rsid w:val="003728DC"/>
    <w:rsid w:val="00372A60"/>
    <w:rsid w:val="00373284"/>
    <w:rsid w:val="00373653"/>
    <w:rsid w:val="00373A3A"/>
    <w:rsid w:val="00374CF7"/>
    <w:rsid w:val="00375300"/>
    <w:rsid w:val="0037555D"/>
    <w:rsid w:val="00375B42"/>
    <w:rsid w:val="00375BBE"/>
    <w:rsid w:val="0037797B"/>
    <w:rsid w:val="00377B8F"/>
    <w:rsid w:val="003814A0"/>
    <w:rsid w:val="003823F6"/>
    <w:rsid w:val="00382A2F"/>
    <w:rsid w:val="00383493"/>
    <w:rsid w:val="003852D3"/>
    <w:rsid w:val="00385B3F"/>
    <w:rsid w:val="003875B5"/>
    <w:rsid w:val="00387964"/>
    <w:rsid w:val="00387EFA"/>
    <w:rsid w:val="00390EFC"/>
    <w:rsid w:val="003912A8"/>
    <w:rsid w:val="00391535"/>
    <w:rsid w:val="00392389"/>
    <w:rsid w:val="0039301A"/>
    <w:rsid w:val="00393EA3"/>
    <w:rsid w:val="0039423F"/>
    <w:rsid w:val="00394D96"/>
    <w:rsid w:val="003956DE"/>
    <w:rsid w:val="00396F86"/>
    <w:rsid w:val="003972ED"/>
    <w:rsid w:val="003A0348"/>
    <w:rsid w:val="003A0CA0"/>
    <w:rsid w:val="003A1897"/>
    <w:rsid w:val="003A2600"/>
    <w:rsid w:val="003A32C6"/>
    <w:rsid w:val="003A36FB"/>
    <w:rsid w:val="003A3829"/>
    <w:rsid w:val="003A4017"/>
    <w:rsid w:val="003A488E"/>
    <w:rsid w:val="003A48C7"/>
    <w:rsid w:val="003A531A"/>
    <w:rsid w:val="003A61C2"/>
    <w:rsid w:val="003A6235"/>
    <w:rsid w:val="003A6364"/>
    <w:rsid w:val="003A6A27"/>
    <w:rsid w:val="003A720F"/>
    <w:rsid w:val="003A7946"/>
    <w:rsid w:val="003A7F91"/>
    <w:rsid w:val="003B110A"/>
    <w:rsid w:val="003B17FD"/>
    <w:rsid w:val="003B1D73"/>
    <w:rsid w:val="003B260A"/>
    <w:rsid w:val="003B2A63"/>
    <w:rsid w:val="003B2BCB"/>
    <w:rsid w:val="003B3255"/>
    <w:rsid w:val="003B3531"/>
    <w:rsid w:val="003B35F1"/>
    <w:rsid w:val="003B3EF4"/>
    <w:rsid w:val="003B4411"/>
    <w:rsid w:val="003B48D8"/>
    <w:rsid w:val="003B4928"/>
    <w:rsid w:val="003B4CAA"/>
    <w:rsid w:val="003B6011"/>
    <w:rsid w:val="003B7BA5"/>
    <w:rsid w:val="003B7E65"/>
    <w:rsid w:val="003C0103"/>
    <w:rsid w:val="003C029F"/>
    <w:rsid w:val="003C06ED"/>
    <w:rsid w:val="003C1099"/>
    <w:rsid w:val="003C1CE2"/>
    <w:rsid w:val="003C2361"/>
    <w:rsid w:val="003C279F"/>
    <w:rsid w:val="003C34EE"/>
    <w:rsid w:val="003C47EB"/>
    <w:rsid w:val="003C60BC"/>
    <w:rsid w:val="003C65DB"/>
    <w:rsid w:val="003C710A"/>
    <w:rsid w:val="003C797B"/>
    <w:rsid w:val="003C7EDB"/>
    <w:rsid w:val="003D033D"/>
    <w:rsid w:val="003D166D"/>
    <w:rsid w:val="003D23A4"/>
    <w:rsid w:val="003D2F65"/>
    <w:rsid w:val="003D3295"/>
    <w:rsid w:val="003D409A"/>
    <w:rsid w:val="003D485C"/>
    <w:rsid w:val="003D4864"/>
    <w:rsid w:val="003D4897"/>
    <w:rsid w:val="003D56CC"/>
    <w:rsid w:val="003D584F"/>
    <w:rsid w:val="003D58EF"/>
    <w:rsid w:val="003D64E5"/>
    <w:rsid w:val="003D663D"/>
    <w:rsid w:val="003D6F39"/>
    <w:rsid w:val="003D7391"/>
    <w:rsid w:val="003D78AD"/>
    <w:rsid w:val="003E074D"/>
    <w:rsid w:val="003E0893"/>
    <w:rsid w:val="003E1E07"/>
    <w:rsid w:val="003E2334"/>
    <w:rsid w:val="003E2F1F"/>
    <w:rsid w:val="003E31A1"/>
    <w:rsid w:val="003E362E"/>
    <w:rsid w:val="003E38F7"/>
    <w:rsid w:val="003E4760"/>
    <w:rsid w:val="003E4C4C"/>
    <w:rsid w:val="003E5471"/>
    <w:rsid w:val="003E5BA6"/>
    <w:rsid w:val="003E660B"/>
    <w:rsid w:val="003E7EDC"/>
    <w:rsid w:val="003F0C02"/>
    <w:rsid w:val="003F0C0A"/>
    <w:rsid w:val="003F0E13"/>
    <w:rsid w:val="003F1234"/>
    <w:rsid w:val="003F15EC"/>
    <w:rsid w:val="003F22A6"/>
    <w:rsid w:val="003F24BF"/>
    <w:rsid w:val="003F29D9"/>
    <w:rsid w:val="003F29DF"/>
    <w:rsid w:val="003F3A4C"/>
    <w:rsid w:val="003F4A24"/>
    <w:rsid w:val="003F4E55"/>
    <w:rsid w:val="003F617D"/>
    <w:rsid w:val="003F70A0"/>
    <w:rsid w:val="003F7746"/>
    <w:rsid w:val="003F77EF"/>
    <w:rsid w:val="00400168"/>
    <w:rsid w:val="004003E3"/>
    <w:rsid w:val="004011F9"/>
    <w:rsid w:val="004020BF"/>
    <w:rsid w:val="00402310"/>
    <w:rsid w:val="00402F27"/>
    <w:rsid w:val="0040406D"/>
    <w:rsid w:val="00404B0E"/>
    <w:rsid w:val="00405A69"/>
    <w:rsid w:val="00405D98"/>
    <w:rsid w:val="00405EC1"/>
    <w:rsid w:val="00406E83"/>
    <w:rsid w:val="004073D2"/>
    <w:rsid w:val="00407A0E"/>
    <w:rsid w:val="00407B5F"/>
    <w:rsid w:val="00410D20"/>
    <w:rsid w:val="00411192"/>
    <w:rsid w:val="00411848"/>
    <w:rsid w:val="00412120"/>
    <w:rsid w:val="00412744"/>
    <w:rsid w:val="004135DB"/>
    <w:rsid w:val="00414718"/>
    <w:rsid w:val="00414AC2"/>
    <w:rsid w:val="00414B2C"/>
    <w:rsid w:val="00415AC5"/>
    <w:rsid w:val="00415B98"/>
    <w:rsid w:val="00415E8A"/>
    <w:rsid w:val="00415EC3"/>
    <w:rsid w:val="00415FC8"/>
    <w:rsid w:val="004168D5"/>
    <w:rsid w:val="004169D3"/>
    <w:rsid w:val="004170F8"/>
    <w:rsid w:val="00420C78"/>
    <w:rsid w:val="004228AC"/>
    <w:rsid w:val="00422DF7"/>
    <w:rsid w:val="00422E36"/>
    <w:rsid w:val="00423BC6"/>
    <w:rsid w:val="0042405C"/>
    <w:rsid w:val="00424071"/>
    <w:rsid w:val="00424147"/>
    <w:rsid w:val="004244C1"/>
    <w:rsid w:val="004249FB"/>
    <w:rsid w:val="004251A8"/>
    <w:rsid w:val="00425B3A"/>
    <w:rsid w:val="0042680E"/>
    <w:rsid w:val="0042701F"/>
    <w:rsid w:val="0042737A"/>
    <w:rsid w:val="00427648"/>
    <w:rsid w:val="00427CC5"/>
    <w:rsid w:val="00430002"/>
    <w:rsid w:val="00430CDB"/>
    <w:rsid w:val="00431136"/>
    <w:rsid w:val="00431540"/>
    <w:rsid w:val="00431B9A"/>
    <w:rsid w:val="00432E0D"/>
    <w:rsid w:val="004332CB"/>
    <w:rsid w:val="00433972"/>
    <w:rsid w:val="0043457A"/>
    <w:rsid w:val="004345E3"/>
    <w:rsid w:val="004346D7"/>
    <w:rsid w:val="00434CF3"/>
    <w:rsid w:val="004368BE"/>
    <w:rsid w:val="00436942"/>
    <w:rsid w:val="00436F4F"/>
    <w:rsid w:val="004375BD"/>
    <w:rsid w:val="00437A87"/>
    <w:rsid w:val="00440B47"/>
    <w:rsid w:val="00440F44"/>
    <w:rsid w:val="004412C4"/>
    <w:rsid w:val="0044199E"/>
    <w:rsid w:val="00441D45"/>
    <w:rsid w:val="004432C8"/>
    <w:rsid w:val="004435CC"/>
    <w:rsid w:val="004437D4"/>
    <w:rsid w:val="004442B5"/>
    <w:rsid w:val="00444D6B"/>
    <w:rsid w:val="00444E88"/>
    <w:rsid w:val="004456B2"/>
    <w:rsid w:val="004460A7"/>
    <w:rsid w:val="004464A9"/>
    <w:rsid w:val="004468B1"/>
    <w:rsid w:val="00446A22"/>
    <w:rsid w:val="00447FA1"/>
    <w:rsid w:val="0045077E"/>
    <w:rsid w:val="004512ED"/>
    <w:rsid w:val="0045198E"/>
    <w:rsid w:val="00451E96"/>
    <w:rsid w:val="00452A4C"/>
    <w:rsid w:val="00452B9B"/>
    <w:rsid w:val="00452DFC"/>
    <w:rsid w:val="00453FCB"/>
    <w:rsid w:val="00454D5D"/>
    <w:rsid w:val="00454DC0"/>
    <w:rsid w:val="00455038"/>
    <w:rsid w:val="00455274"/>
    <w:rsid w:val="00455EE7"/>
    <w:rsid w:val="0045629A"/>
    <w:rsid w:val="00457D5A"/>
    <w:rsid w:val="00460920"/>
    <w:rsid w:val="00463E83"/>
    <w:rsid w:val="00464792"/>
    <w:rsid w:val="0046490A"/>
    <w:rsid w:val="00464944"/>
    <w:rsid w:val="00464D18"/>
    <w:rsid w:val="0046538B"/>
    <w:rsid w:val="0046558A"/>
    <w:rsid w:val="004660D5"/>
    <w:rsid w:val="00466FAB"/>
    <w:rsid w:val="004671C6"/>
    <w:rsid w:val="0046734E"/>
    <w:rsid w:val="00467F09"/>
    <w:rsid w:val="00470383"/>
    <w:rsid w:val="0047097F"/>
    <w:rsid w:val="00470A36"/>
    <w:rsid w:val="00470A7E"/>
    <w:rsid w:val="004710F5"/>
    <w:rsid w:val="00471B85"/>
    <w:rsid w:val="004726B9"/>
    <w:rsid w:val="004727C0"/>
    <w:rsid w:val="00472BAE"/>
    <w:rsid w:val="00472D27"/>
    <w:rsid w:val="00472DA7"/>
    <w:rsid w:val="00473106"/>
    <w:rsid w:val="004738C6"/>
    <w:rsid w:val="004741EA"/>
    <w:rsid w:val="00474504"/>
    <w:rsid w:val="004747D3"/>
    <w:rsid w:val="004749A4"/>
    <w:rsid w:val="00475A51"/>
    <w:rsid w:val="00476589"/>
    <w:rsid w:val="00476DC8"/>
    <w:rsid w:val="0047700A"/>
    <w:rsid w:val="0047780A"/>
    <w:rsid w:val="00477B6F"/>
    <w:rsid w:val="00477E82"/>
    <w:rsid w:val="00481808"/>
    <w:rsid w:val="00482F63"/>
    <w:rsid w:val="00484556"/>
    <w:rsid w:val="004856CF"/>
    <w:rsid w:val="00486C35"/>
    <w:rsid w:val="00486F96"/>
    <w:rsid w:val="004878AF"/>
    <w:rsid w:val="00487AB1"/>
    <w:rsid w:val="00487D9A"/>
    <w:rsid w:val="0049015D"/>
    <w:rsid w:val="00491C25"/>
    <w:rsid w:val="00491F2F"/>
    <w:rsid w:val="00492274"/>
    <w:rsid w:val="00492F8E"/>
    <w:rsid w:val="00493CB6"/>
    <w:rsid w:val="00493D67"/>
    <w:rsid w:val="00494735"/>
    <w:rsid w:val="00495F6B"/>
    <w:rsid w:val="0049612A"/>
    <w:rsid w:val="00496629"/>
    <w:rsid w:val="00496A35"/>
    <w:rsid w:val="0049740C"/>
    <w:rsid w:val="00497DBF"/>
    <w:rsid w:val="004A0ED8"/>
    <w:rsid w:val="004A10D2"/>
    <w:rsid w:val="004A15BD"/>
    <w:rsid w:val="004A19BA"/>
    <w:rsid w:val="004A2065"/>
    <w:rsid w:val="004A2067"/>
    <w:rsid w:val="004A26E7"/>
    <w:rsid w:val="004A2A42"/>
    <w:rsid w:val="004A2E4E"/>
    <w:rsid w:val="004A3F21"/>
    <w:rsid w:val="004A40F0"/>
    <w:rsid w:val="004A41C6"/>
    <w:rsid w:val="004A41DC"/>
    <w:rsid w:val="004A42E0"/>
    <w:rsid w:val="004A4383"/>
    <w:rsid w:val="004A61C3"/>
    <w:rsid w:val="004A6B0A"/>
    <w:rsid w:val="004A77B0"/>
    <w:rsid w:val="004A7F6F"/>
    <w:rsid w:val="004B117D"/>
    <w:rsid w:val="004B11A1"/>
    <w:rsid w:val="004B23DB"/>
    <w:rsid w:val="004B26E9"/>
    <w:rsid w:val="004B2DB7"/>
    <w:rsid w:val="004B53ED"/>
    <w:rsid w:val="004B5764"/>
    <w:rsid w:val="004B5C07"/>
    <w:rsid w:val="004B5CCA"/>
    <w:rsid w:val="004B6417"/>
    <w:rsid w:val="004B6513"/>
    <w:rsid w:val="004B68BA"/>
    <w:rsid w:val="004B7027"/>
    <w:rsid w:val="004B76FD"/>
    <w:rsid w:val="004C052E"/>
    <w:rsid w:val="004C072C"/>
    <w:rsid w:val="004C143B"/>
    <w:rsid w:val="004C1511"/>
    <w:rsid w:val="004C1AC4"/>
    <w:rsid w:val="004C1AEE"/>
    <w:rsid w:val="004C1F83"/>
    <w:rsid w:val="004C267D"/>
    <w:rsid w:val="004C2AA4"/>
    <w:rsid w:val="004C33D9"/>
    <w:rsid w:val="004C3D53"/>
    <w:rsid w:val="004C4604"/>
    <w:rsid w:val="004C7E0E"/>
    <w:rsid w:val="004D28E0"/>
    <w:rsid w:val="004D2CB6"/>
    <w:rsid w:val="004D53B3"/>
    <w:rsid w:val="004D563D"/>
    <w:rsid w:val="004D5C81"/>
    <w:rsid w:val="004D5F77"/>
    <w:rsid w:val="004D5FE5"/>
    <w:rsid w:val="004D63A9"/>
    <w:rsid w:val="004D65CA"/>
    <w:rsid w:val="004D69C2"/>
    <w:rsid w:val="004D7BB7"/>
    <w:rsid w:val="004D7C42"/>
    <w:rsid w:val="004E05F4"/>
    <w:rsid w:val="004E09EE"/>
    <w:rsid w:val="004E1560"/>
    <w:rsid w:val="004E212A"/>
    <w:rsid w:val="004E2675"/>
    <w:rsid w:val="004E2B39"/>
    <w:rsid w:val="004E3457"/>
    <w:rsid w:val="004E3631"/>
    <w:rsid w:val="004E3A5D"/>
    <w:rsid w:val="004E3B02"/>
    <w:rsid w:val="004E4654"/>
    <w:rsid w:val="004E4882"/>
    <w:rsid w:val="004E58C3"/>
    <w:rsid w:val="004E5995"/>
    <w:rsid w:val="004E66A1"/>
    <w:rsid w:val="004E79FF"/>
    <w:rsid w:val="004E7AC8"/>
    <w:rsid w:val="004E7BB5"/>
    <w:rsid w:val="004F0B98"/>
    <w:rsid w:val="004F1EA5"/>
    <w:rsid w:val="004F21F7"/>
    <w:rsid w:val="004F312D"/>
    <w:rsid w:val="004F3770"/>
    <w:rsid w:val="004F3868"/>
    <w:rsid w:val="004F3FCC"/>
    <w:rsid w:val="004F42CF"/>
    <w:rsid w:val="004F4A37"/>
    <w:rsid w:val="004F5046"/>
    <w:rsid w:val="004F50D5"/>
    <w:rsid w:val="004F55EF"/>
    <w:rsid w:val="004F5E3A"/>
    <w:rsid w:val="004F614E"/>
    <w:rsid w:val="004F63FF"/>
    <w:rsid w:val="004F66F8"/>
    <w:rsid w:val="004F7517"/>
    <w:rsid w:val="00501445"/>
    <w:rsid w:val="005015AA"/>
    <w:rsid w:val="00501995"/>
    <w:rsid w:val="005024BB"/>
    <w:rsid w:val="00502B30"/>
    <w:rsid w:val="00503534"/>
    <w:rsid w:val="00504281"/>
    <w:rsid w:val="005049FE"/>
    <w:rsid w:val="00505211"/>
    <w:rsid w:val="00505659"/>
    <w:rsid w:val="00505B46"/>
    <w:rsid w:val="00505C7C"/>
    <w:rsid w:val="00506ACB"/>
    <w:rsid w:val="00506B17"/>
    <w:rsid w:val="00506E29"/>
    <w:rsid w:val="00506F71"/>
    <w:rsid w:val="00510789"/>
    <w:rsid w:val="00510C7C"/>
    <w:rsid w:val="0051150C"/>
    <w:rsid w:val="00511C8F"/>
    <w:rsid w:val="00511CB5"/>
    <w:rsid w:val="00512B91"/>
    <w:rsid w:val="00512D3B"/>
    <w:rsid w:val="00512DFC"/>
    <w:rsid w:val="00513BC5"/>
    <w:rsid w:val="005147AA"/>
    <w:rsid w:val="00515E30"/>
    <w:rsid w:val="00516DAD"/>
    <w:rsid w:val="00517442"/>
    <w:rsid w:val="005201D3"/>
    <w:rsid w:val="00520290"/>
    <w:rsid w:val="0052090A"/>
    <w:rsid w:val="00520D7B"/>
    <w:rsid w:val="00521253"/>
    <w:rsid w:val="00521520"/>
    <w:rsid w:val="00522FB0"/>
    <w:rsid w:val="00523A03"/>
    <w:rsid w:val="00524F93"/>
    <w:rsid w:val="00525C29"/>
    <w:rsid w:val="00525C4A"/>
    <w:rsid w:val="00530E6A"/>
    <w:rsid w:val="00531239"/>
    <w:rsid w:val="005316A8"/>
    <w:rsid w:val="00532500"/>
    <w:rsid w:val="005328F3"/>
    <w:rsid w:val="00532C1E"/>
    <w:rsid w:val="00533337"/>
    <w:rsid w:val="005339E9"/>
    <w:rsid w:val="00533B50"/>
    <w:rsid w:val="00533B87"/>
    <w:rsid w:val="00534CDA"/>
    <w:rsid w:val="005356D5"/>
    <w:rsid w:val="005362F7"/>
    <w:rsid w:val="00537629"/>
    <w:rsid w:val="00537E33"/>
    <w:rsid w:val="00537F4F"/>
    <w:rsid w:val="0054006B"/>
    <w:rsid w:val="0054026F"/>
    <w:rsid w:val="00540D9B"/>
    <w:rsid w:val="005416D5"/>
    <w:rsid w:val="00541968"/>
    <w:rsid w:val="00541B18"/>
    <w:rsid w:val="00543CE9"/>
    <w:rsid w:val="005447E9"/>
    <w:rsid w:val="00544E5F"/>
    <w:rsid w:val="0054504C"/>
    <w:rsid w:val="00545EB6"/>
    <w:rsid w:val="00546B76"/>
    <w:rsid w:val="00547083"/>
    <w:rsid w:val="005470CE"/>
    <w:rsid w:val="00547ABA"/>
    <w:rsid w:val="00547F12"/>
    <w:rsid w:val="0055027E"/>
    <w:rsid w:val="00550EBD"/>
    <w:rsid w:val="00551394"/>
    <w:rsid w:val="0055167C"/>
    <w:rsid w:val="00551715"/>
    <w:rsid w:val="00551E41"/>
    <w:rsid w:val="0055259E"/>
    <w:rsid w:val="00552931"/>
    <w:rsid w:val="00552AC7"/>
    <w:rsid w:val="00552E4B"/>
    <w:rsid w:val="00552F79"/>
    <w:rsid w:val="0055373B"/>
    <w:rsid w:val="00553B48"/>
    <w:rsid w:val="00553F15"/>
    <w:rsid w:val="00553F9B"/>
    <w:rsid w:val="0055442F"/>
    <w:rsid w:val="00554B14"/>
    <w:rsid w:val="005551C0"/>
    <w:rsid w:val="00555785"/>
    <w:rsid w:val="00555F51"/>
    <w:rsid w:val="00556221"/>
    <w:rsid w:val="00556383"/>
    <w:rsid w:val="0055644B"/>
    <w:rsid w:val="0055674F"/>
    <w:rsid w:val="00556E9C"/>
    <w:rsid w:val="00557120"/>
    <w:rsid w:val="0055741F"/>
    <w:rsid w:val="005578E5"/>
    <w:rsid w:val="005579A4"/>
    <w:rsid w:val="005609D6"/>
    <w:rsid w:val="00560CE1"/>
    <w:rsid w:val="005615BB"/>
    <w:rsid w:val="0056237F"/>
    <w:rsid w:val="005623AA"/>
    <w:rsid w:val="00562436"/>
    <w:rsid w:val="005641E7"/>
    <w:rsid w:val="00564351"/>
    <w:rsid w:val="00564408"/>
    <w:rsid w:val="0056495A"/>
    <w:rsid w:val="00564E8B"/>
    <w:rsid w:val="005651CC"/>
    <w:rsid w:val="00565786"/>
    <w:rsid w:val="00566BD5"/>
    <w:rsid w:val="00566C97"/>
    <w:rsid w:val="0056786F"/>
    <w:rsid w:val="0057119F"/>
    <w:rsid w:val="00572467"/>
    <w:rsid w:val="0057310F"/>
    <w:rsid w:val="00575471"/>
    <w:rsid w:val="0057682F"/>
    <w:rsid w:val="00577669"/>
    <w:rsid w:val="00580321"/>
    <w:rsid w:val="00580EAE"/>
    <w:rsid w:val="005813F3"/>
    <w:rsid w:val="005818CD"/>
    <w:rsid w:val="00581F5F"/>
    <w:rsid w:val="0058225E"/>
    <w:rsid w:val="005822AA"/>
    <w:rsid w:val="00582930"/>
    <w:rsid w:val="005831FA"/>
    <w:rsid w:val="00583210"/>
    <w:rsid w:val="0058384A"/>
    <w:rsid w:val="0058411A"/>
    <w:rsid w:val="005842DD"/>
    <w:rsid w:val="00584AE8"/>
    <w:rsid w:val="00585B39"/>
    <w:rsid w:val="005868B8"/>
    <w:rsid w:val="005870A2"/>
    <w:rsid w:val="005918F4"/>
    <w:rsid w:val="005918FC"/>
    <w:rsid w:val="0059222A"/>
    <w:rsid w:val="00592497"/>
    <w:rsid w:val="0059264E"/>
    <w:rsid w:val="00592894"/>
    <w:rsid w:val="00592F4B"/>
    <w:rsid w:val="005931FE"/>
    <w:rsid w:val="00594507"/>
    <w:rsid w:val="00594571"/>
    <w:rsid w:val="005946C7"/>
    <w:rsid w:val="005957FF"/>
    <w:rsid w:val="00595CBF"/>
    <w:rsid w:val="00596F23"/>
    <w:rsid w:val="0059799D"/>
    <w:rsid w:val="00597D53"/>
    <w:rsid w:val="005A028F"/>
    <w:rsid w:val="005A05FE"/>
    <w:rsid w:val="005A1556"/>
    <w:rsid w:val="005A19CC"/>
    <w:rsid w:val="005A1D3A"/>
    <w:rsid w:val="005A2007"/>
    <w:rsid w:val="005A23EF"/>
    <w:rsid w:val="005A2F9A"/>
    <w:rsid w:val="005A3A85"/>
    <w:rsid w:val="005A419C"/>
    <w:rsid w:val="005A46BA"/>
    <w:rsid w:val="005A4917"/>
    <w:rsid w:val="005A5210"/>
    <w:rsid w:val="005A5B8D"/>
    <w:rsid w:val="005A6B8E"/>
    <w:rsid w:val="005A6CBB"/>
    <w:rsid w:val="005A6D43"/>
    <w:rsid w:val="005A7941"/>
    <w:rsid w:val="005B05D8"/>
    <w:rsid w:val="005B0987"/>
    <w:rsid w:val="005B1192"/>
    <w:rsid w:val="005B18FC"/>
    <w:rsid w:val="005B1986"/>
    <w:rsid w:val="005B1AA8"/>
    <w:rsid w:val="005B1FC5"/>
    <w:rsid w:val="005B2780"/>
    <w:rsid w:val="005B27DA"/>
    <w:rsid w:val="005B2A4B"/>
    <w:rsid w:val="005B2B80"/>
    <w:rsid w:val="005B2EC7"/>
    <w:rsid w:val="005B338A"/>
    <w:rsid w:val="005B3840"/>
    <w:rsid w:val="005B5046"/>
    <w:rsid w:val="005B5C31"/>
    <w:rsid w:val="005B5DC7"/>
    <w:rsid w:val="005B602D"/>
    <w:rsid w:val="005B692F"/>
    <w:rsid w:val="005B6FFB"/>
    <w:rsid w:val="005B74AB"/>
    <w:rsid w:val="005B7F35"/>
    <w:rsid w:val="005C12C4"/>
    <w:rsid w:val="005C15D6"/>
    <w:rsid w:val="005C1648"/>
    <w:rsid w:val="005C1AA0"/>
    <w:rsid w:val="005C213A"/>
    <w:rsid w:val="005C2A8D"/>
    <w:rsid w:val="005C2DBB"/>
    <w:rsid w:val="005C2FEF"/>
    <w:rsid w:val="005C3250"/>
    <w:rsid w:val="005C33E5"/>
    <w:rsid w:val="005C4824"/>
    <w:rsid w:val="005C4A10"/>
    <w:rsid w:val="005C4B9D"/>
    <w:rsid w:val="005C5806"/>
    <w:rsid w:val="005C5A1D"/>
    <w:rsid w:val="005C5CAC"/>
    <w:rsid w:val="005C6C9D"/>
    <w:rsid w:val="005C727E"/>
    <w:rsid w:val="005C7476"/>
    <w:rsid w:val="005C794C"/>
    <w:rsid w:val="005C7D4D"/>
    <w:rsid w:val="005C7DB2"/>
    <w:rsid w:val="005D08FA"/>
    <w:rsid w:val="005D0942"/>
    <w:rsid w:val="005D0B7F"/>
    <w:rsid w:val="005D1F12"/>
    <w:rsid w:val="005D2161"/>
    <w:rsid w:val="005D2EF3"/>
    <w:rsid w:val="005D3231"/>
    <w:rsid w:val="005D357E"/>
    <w:rsid w:val="005D3CF8"/>
    <w:rsid w:val="005D44AA"/>
    <w:rsid w:val="005D483B"/>
    <w:rsid w:val="005D5BE3"/>
    <w:rsid w:val="005D5E2A"/>
    <w:rsid w:val="005D61EE"/>
    <w:rsid w:val="005D693D"/>
    <w:rsid w:val="005D6984"/>
    <w:rsid w:val="005D6B45"/>
    <w:rsid w:val="005D756A"/>
    <w:rsid w:val="005D776F"/>
    <w:rsid w:val="005D7E9B"/>
    <w:rsid w:val="005E0501"/>
    <w:rsid w:val="005E178B"/>
    <w:rsid w:val="005E1C8F"/>
    <w:rsid w:val="005E1CAA"/>
    <w:rsid w:val="005E2402"/>
    <w:rsid w:val="005E2F2A"/>
    <w:rsid w:val="005E3B3C"/>
    <w:rsid w:val="005E41CE"/>
    <w:rsid w:val="005E45B2"/>
    <w:rsid w:val="005E4A97"/>
    <w:rsid w:val="005E5338"/>
    <w:rsid w:val="005E5F00"/>
    <w:rsid w:val="005E5F75"/>
    <w:rsid w:val="005E66CF"/>
    <w:rsid w:val="005E6FA7"/>
    <w:rsid w:val="005E7446"/>
    <w:rsid w:val="005E7EDE"/>
    <w:rsid w:val="005E7F80"/>
    <w:rsid w:val="005F02CB"/>
    <w:rsid w:val="005F1A07"/>
    <w:rsid w:val="005F1B3D"/>
    <w:rsid w:val="005F1BED"/>
    <w:rsid w:val="005F20C7"/>
    <w:rsid w:val="005F2C6D"/>
    <w:rsid w:val="005F3C45"/>
    <w:rsid w:val="005F3D89"/>
    <w:rsid w:val="005F471D"/>
    <w:rsid w:val="005F5C75"/>
    <w:rsid w:val="005F6372"/>
    <w:rsid w:val="005F63C9"/>
    <w:rsid w:val="005F6709"/>
    <w:rsid w:val="005F681B"/>
    <w:rsid w:val="005F6B37"/>
    <w:rsid w:val="005F6E85"/>
    <w:rsid w:val="005F7E95"/>
    <w:rsid w:val="006005CD"/>
    <w:rsid w:val="00600793"/>
    <w:rsid w:val="00600C29"/>
    <w:rsid w:val="00600E58"/>
    <w:rsid w:val="00601B01"/>
    <w:rsid w:val="006024BE"/>
    <w:rsid w:val="00602597"/>
    <w:rsid w:val="00602984"/>
    <w:rsid w:val="0060356D"/>
    <w:rsid w:val="006036F6"/>
    <w:rsid w:val="00603B76"/>
    <w:rsid w:val="00603BE7"/>
    <w:rsid w:val="0060443B"/>
    <w:rsid w:val="00604D3A"/>
    <w:rsid w:val="00605076"/>
    <w:rsid w:val="0060595E"/>
    <w:rsid w:val="00605BC6"/>
    <w:rsid w:val="00606CD8"/>
    <w:rsid w:val="00606F1C"/>
    <w:rsid w:val="00607640"/>
    <w:rsid w:val="006079DD"/>
    <w:rsid w:val="00610127"/>
    <w:rsid w:val="006114A7"/>
    <w:rsid w:val="006120D6"/>
    <w:rsid w:val="00612201"/>
    <w:rsid w:val="006123F3"/>
    <w:rsid w:val="00612C01"/>
    <w:rsid w:val="00612D38"/>
    <w:rsid w:val="00612E21"/>
    <w:rsid w:val="00613028"/>
    <w:rsid w:val="00614334"/>
    <w:rsid w:val="00614967"/>
    <w:rsid w:val="0061501E"/>
    <w:rsid w:val="00615BEC"/>
    <w:rsid w:val="00615C85"/>
    <w:rsid w:val="00615C8B"/>
    <w:rsid w:val="00615F7A"/>
    <w:rsid w:val="00616094"/>
    <w:rsid w:val="006164C6"/>
    <w:rsid w:val="00616E14"/>
    <w:rsid w:val="006173E4"/>
    <w:rsid w:val="00620202"/>
    <w:rsid w:val="00620268"/>
    <w:rsid w:val="00621437"/>
    <w:rsid w:val="00621758"/>
    <w:rsid w:val="00621779"/>
    <w:rsid w:val="00623264"/>
    <w:rsid w:val="006233DF"/>
    <w:rsid w:val="00624C12"/>
    <w:rsid w:val="006257AF"/>
    <w:rsid w:val="00625894"/>
    <w:rsid w:val="00625E42"/>
    <w:rsid w:val="0062686E"/>
    <w:rsid w:val="00626C10"/>
    <w:rsid w:val="00627CC9"/>
    <w:rsid w:val="00630AE9"/>
    <w:rsid w:val="00630E47"/>
    <w:rsid w:val="00632C5A"/>
    <w:rsid w:val="00632FC5"/>
    <w:rsid w:val="00633332"/>
    <w:rsid w:val="00634322"/>
    <w:rsid w:val="00634588"/>
    <w:rsid w:val="0063483C"/>
    <w:rsid w:val="00635178"/>
    <w:rsid w:val="0063567F"/>
    <w:rsid w:val="0063594A"/>
    <w:rsid w:val="00635EB0"/>
    <w:rsid w:val="00636E88"/>
    <w:rsid w:val="00640047"/>
    <w:rsid w:val="00640A97"/>
    <w:rsid w:val="00640B2E"/>
    <w:rsid w:val="00640F19"/>
    <w:rsid w:val="00641642"/>
    <w:rsid w:val="006417FB"/>
    <w:rsid w:val="00642508"/>
    <w:rsid w:val="0064268E"/>
    <w:rsid w:val="00642801"/>
    <w:rsid w:val="00643710"/>
    <w:rsid w:val="00643D0A"/>
    <w:rsid w:val="006442E4"/>
    <w:rsid w:val="006449AB"/>
    <w:rsid w:val="00644F3A"/>
    <w:rsid w:val="00645C0D"/>
    <w:rsid w:val="00645D05"/>
    <w:rsid w:val="00647A80"/>
    <w:rsid w:val="0065053B"/>
    <w:rsid w:val="00651361"/>
    <w:rsid w:val="00651C88"/>
    <w:rsid w:val="00652358"/>
    <w:rsid w:val="00652568"/>
    <w:rsid w:val="006531D5"/>
    <w:rsid w:val="0065364B"/>
    <w:rsid w:val="00653C99"/>
    <w:rsid w:val="0065407D"/>
    <w:rsid w:val="00654743"/>
    <w:rsid w:val="00654EF8"/>
    <w:rsid w:val="006559CF"/>
    <w:rsid w:val="00655E92"/>
    <w:rsid w:val="006571FD"/>
    <w:rsid w:val="006578DD"/>
    <w:rsid w:val="00657A9B"/>
    <w:rsid w:val="00657CCC"/>
    <w:rsid w:val="00660560"/>
    <w:rsid w:val="00661010"/>
    <w:rsid w:val="006612D4"/>
    <w:rsid w:val="006645A6"/>
    <w:rsid w:val="00665326"/>
    <w:rsid w:val="0066636E"/>
    <w:rsid w:val="0066642A"/>
    <w:rsid w:val="006666AA"/>
    <w:rsid w:val="006668F9"/>
    <w:rsid w:val="00667472"/>
    <w:rsid w:val="00670BB6"/>
    <w:rsid w:val="006710CE"/>
    <w:rsid w:val="0067194C"/>
    <w:rsid w:val="006744EA"/>
    <w:rsid w:val="00675151"/>
    <w:rsid w:val="0067582E"/>
    <w:rsid w:val="00675CA5"/>
    <w:rsid w:val="00676848"/>
    <w:rsid w:val="00676BB5"/>
    <w:rsid w:val="006773C7"/>
    <w:rsid w:val="00677E9C"/>
    <w:rsid w:val="006802F2"/>
    <w:rsid w:val="00680699"/>
    <w:rsid w:val="00680D32"/>
    <w:rsid w:val="00681721"/>
    <w:rsid w:val="00681A2D"/>
    <w:rsid w:val="00681AB0"/>
    <w:rsid w:val="00681FA0"/>
    <w:rsid w:val="00682381"/>
    <w:rsid w:val="0068240A"/>
    <w:rsid w:val="006825C0"/>
    <w:rsid w:val="00682699"/>
    <w:rsid w:val="00682C97"/>
    <w:rsid w:val="00682E64"/>
    <w:rsid w:val="006833B5"/>
    <w:rsid w:val="0068420E"/>
    <w:rsid w:val="00684CA9"/>
    <w:rsid w:val="00684CAD"/>
    <w:rsid w:val="006856EE"/>
    <w:rsid w:val="006860C6"/>
    <w:rsid w:val="00686D13"/>
    <w:rsid w:val="00686F57"/>
    <w:rsid w:val="00687148"/>
    <w:rsid w:val="006874ED"/>
    <w:rsid w:val="006875EB"/>
    <w:rsid w:val="0068787A"/>
    <w:rsid w:val="00687CB7"/>
    <w:rsid w:val="00687E69"/>
    <w:rsid w:val="0069049C"/>
    <w:rsid w:val="00691B38"/>
    <w:rsid w:val="00691BE0"/>
    <w:rsid w:val="0069241E"/>
    <w:rsid w:val="00692B7F"/>
    <w:rsid w:val="00693076"/>
    <w:rsid w:val="006936ED"/>
    <w:rsid w:val="00696194"/>
    <w:rsid w:val="00696483"/>
    <w:rsid w:val="00696A9B"/>
    <w:rsid w:val="006974DD"/>
    <w:rsid w:val="0069758D"/>
    <w:rsid w:val="0069789E"/>
    <w:rsid w:val="006A02DE"/>
    <w:rsid w:val="006A0DE3"/>
    <w:rsid w:val="006A10DA"/>
    <w:rsid w:val="006A143C"/>
    <w:rsid w:val="006A1903"/>
    <w:rsid w:val="006A1A89"/>
    <w:rsid w:val="006A26D3"/>
    <w:rsid w:val="006A27B5"/>
    <w:rsid w:val="006A3100"/>
    <w:rsid w:val="006A3689"/>
    <w:rsid w:val="006A3F78"/>
    <w:rsid w:val="006A4141"/>
    <w:rsid w:val="006A46A3"/>
    <w:rsid w:val="006A48E3"/>
    <w:rsid w:val="006A56E5"/>
    <w:rsid w:val="006A5D6C"/>
    <w:rsid w:val="006A5F00"/>
    <w:rsid w:val="006A605C"/>
    <w:rsid w:val="006A6118"/>
    <w:rsid w:val="006A62C0"/>
    <w:rsid w:val="006A67B3"/>
    <w:rsid w:val="006A7272"/>
    <w:rsid w:val="006A7660"/>
    <w:rsid w:val="006B12D9"/>
    <w:rsid w:val="006B2136"/>
    <w:rsid w:val="006B34CF"/>
    <w:rsid w:val="006B413B"/>
    <w:rsid w:val="006B4FD0"/>
    <w:rsid w:val="006B5AEE"/>
    <w:rsid w:val="006B62F4"/>
    <w:rsid w:val="006B6568"/>
    <w:rsid w:val="006B7118"/>
    <w:rsid w:val="006B71E4"/>
    <w:rsid w:val="006B7575"/>
    <w:rsid w:val="006B77CE"/>
    <w:rsid w:val="006B794E"/>
    <w:rsid w:val="006B7A58"/>
    <w:rsid w:val="006C060B"/>
    <w:rsid w:val="006C0BB7"/>
    <w:rsid w:val="006C1174"/>
    <w:rsid w:val="006C1739"/>
    <w:rsid w:val="006C246C"/>
    <w:rsid w:val="006C3623"/>
    <w:rsid w:val="006C3F71"/>
    <w:rsid w:val="006C476F"/>
    <w:rsid w:val="006C493E"/>
    <w:rsid w:val="006C4A89"/>
    <w:rsid w:val="006C5126"/>
    <w:rsid w:val="006C5EB4"/>
    <w:rsid w:val="006C64FD"/>
    <w:rsid w:val="006C673A"/>
    <w:rsid w:val="006C6FEE"/>
    <w:rsid w:val="006C7064"/>
    <w:rsid w:val="006C77D0"/>
    <w:rsid w:val="006D19F1"/>
    <w:rsid w:val="006D3301"/>
    <w:rsid w:val="006D466F"/>
    <w:rsid w:val="006D4DC6"/>
    <w:rsid w:val="006D4EC8"/>
    <w:rsid w:val="006D570D"/>
    <w:rsid w:val="006D5E9E"/>
    <w:rsid w:val="006D61BA"/>
    <w:rsid w:val="006D69AC"/>
    <w:rsid w:val="006D7E60"/>
    <w:rsid w:val="006E045F"/>
    <w:rsid w:val="006E18DD"/>
    <w:rsid w:val="006E20AA"/>
    <w:rsid w:val="006E20BC"/>
    <w:rsid w:val="006E2D1E"/>
    <w:rsid w:val="006E2E48"/>
    <w:rsid w:val="006E2EF4"/>
    <w:rsid w:val="006E3674"/>
    <w:rsid w:val="006E3AA8"/>
    <w:rsid w:val="006E3D2F"/>
    <w:rsid w:val="006E43FC"/>
    <w:rsid w:val="006E44C9"/>
    <w:rsid w:val="006E4B07"/>
    <w:rsid w:val="006E4B81"/>
    <w:rsid w:val="006E4C76"/>
    <w:rsid w:val="006E4C7D"/>
    <w:rsid w:val="006E4D06"/>
    <w:rsid w:val="006E4FF8"/>
    <w:rsid w:val="006E5DEB"/>
    <w:rsid w:val="006E5FF8"/>
    <w:rsid w:val="006E70CC"/>
    <w:rsid w:val="006E7C43"/>
    <w:rsid w:val="006E7ECC"/>
    <w:rsid w:val="006F06EE"/>
    <w:rsid w:val="006F16D8"/>
    <w:rsid w:val="006F1864"/>
    <w:rsid w:val="006F1E75"/>
    <w:rsid w:val="006F2D3E"/>
    <w:rsid w:val="006F3465"/>
    <w:rsid w:val="006F3804"/>
    <w:rsid w:val="006F4E2A"/>
    <w:rsid w:val="006F4ECC"/>
    <w:rsid w:val="006F6040"/>
    <w:rsid w:val="006F6464"/>
    <w:rsid w:val="006F6E9A"/>
    <w:rsid w:val="006F71EB"/>
    <w:rsid w:val="006F72A3"/>
    <w:rsid w:val="006F7A28"/>
    <w:rsid w:val="006F7C2E"/>
    <w:rsid w:val="00700128"/>
    <w:rsid w:val="00700962"/>
    <w:rsid w:val="007019CD"/>
    <w:rsid w:val="00701F4C"/>
    <w:rsid w:val="00702571"/>
    <w:rsid w:val="00702B88"/>
    <w:rsid w:val="0070418B"/>
    <w:rsid w:val="00704D28"/>
    <w:rsid w:val="00704EFD"/>
    <w:rsid w:val="00705DB9"/>
    <w:rsid w:val="00705E96"/>
    <w:rsid w:val="007067CA"/>
    <w:rsid w:val="00710151"/>
    <w:rsid w:val="00710227"/>
    <w:rsid w:val="007106B9"/>
    <w:rsid w:val="007108FB"/>
    <w:rsid w:val="0071114F"/>
    <w:rsid w:val="007112BB"/>
    <w:rsid w:val="0071142B"/>
    <w:rsid w:val="0071199B"/>
    <w:rsid w:val="00711CA4"/>
    <w:rsid w:val="007144B7"/>
    <w:rsid w:val="0071459F"/>
    <w:rsid w:val="00714D5F"/>
    <w:rsid w:val="00714E14"/>
    <w:rsid w:val="00714F34"/>
    <w:rsid w:val="007163C1"/>
    <w:rsid w:val="00716875"/>
    <w:rsid w:val="00716FD9"/>
    <w:rsid w:val="00720419"/>
    <w:rsid w:val="007214FE"/>
    <w:rsid w:val="00721820"/>
    <w:rsid w:val="0072209A"/>
    <w:rsid w:val="00723ED2"/>
    <w:rsid w:val="0072463F"/>
    <w:rsid w:val="007275FC"/>
    <w:rsid w:val="0073011A"/>
    <w:rsid w:val="00730A52"/>
    <w:rsid w:val="00730A93"/>
    <w:rsid w:val="00731823"/>
    <w:rsid w:val="00731BC5"/>
    <w:rsid w:val="00732595"/>
    <w:rsid w:val="0073325D"/>
    <w:rsid w:val="00733822"/>
    <w:rsid w:val="00735A57"/>
    <w:rsid w:val="00735C40"/>
    <w:rsid w:val="00740FD4"/>
    <w:rsid w:val="00742174"/>
    <w:rsid w:val="007436E8"/>
    <w:rsid w:val="00744430"/>
    <w:rsid w:val="0074473E"/>
    <w:rsid w:val="00744AF6"/>
    <w:rsid w:val="007451E9"/>
    <w:rsid w:val="00745492"/>
    <w:rsid w:val="00745716"/>
    <w:rsid w:val="007459A2"/>
    <w:rsid w:val="00745EC5"/>
    <w:rsid w:val="0074643D"/>
    <w:rsid w:val="00746514"/>
    <w:rsid w:val="007465D4"/>
    <w:rsid w:val="00746DDE"/>
    <w:rsid w:val="0074724D"/>
    <w:rsid w:val="007500DC"/>
    <w:rsid w:val="0075017A"/>
    <w:rsid w:val="0075059A"/>
    <w:rsid w:val="00750DA4"/>
    <w:rsid w:val="00753059"/>
    <w:rsid w:val="00754A94"/>
    <w:rsid w:val="00754D20"/>
    <w:rsid w:val="00754F13"/>
    <w:rsid w:val="0075565B"/>
    <w:rsid w:val="00755D26"/>
    <w:rsid w:val="007560D1"/>
    <w:rsid w:val="007565FB"/>
    <w:rsid w:val="007571E2"/>
    <w:rsid w:val="00757888"/>
    <w:rsid w:val="00757B4E"/>
    <w:rsid w:val="0076155D"/>
    <w:rsid w:val="007618C7"/>
    <w:rsid w:val="007623CB"/>
    <w:rsid w:val="007623DD"/>
    <w:rsid w:val="00762B86"/>
    <w:rsid w:val="00762BCC"/>
    <w:rsid w:val="00763C79"/>
    <w:rsid w:val="00764114"/>
    <w:rsid w:val="0076489F"/>
    <w:rsid w:val="00764BC0"/>
    <w:rsid w:val="00764D48"/>
    <w:rsid w:val="00764D89"/>
    <w:rsid w:val="00765551"/>
    <w:rsid w:val="0076619A"/>
    <w:rsid w:val="00766263"/>
    <w:rsid w:val="007671C8"/>
    <w:rsid w:val="0076726F"/>
    <w:rsid w:val="00767BA4"/>
    <w:rsid w:val="00767BAA"/>
    <w:rsid w:val="007700BE"/>
    <w:rsid w:val="0077035D"/>
    <w:rsid w:val="00771433"/>
    <w:rsid w:val="00771586"/>
    <w:rsid w:val="0077303F"/>
    <w:rsid w:val="00773141"/>
    <w:rsid w:val="007739DE"/>
    <w:rsid w:val="00773D6B"/>
    <w:rsid w:val="0077433B"/>
    <w:rsid w:val="00774609"/>
    <w:rsid w:val="00774F3A"/>
    <w:rsid w:val="007753B5"/>
    <w:rsid w:val="00775E61"/>
    <w:rsid w:val="0077658F"/>
    <w:rsid w:val="00776E17"/>
    <w:rsid w:val="00780EA2"/>
    <w:rsid w:val="0078179C"/>
    <w:rsid w:val="00781965"/>
    <w:rsid w:val="00781A05"/>
    <w:rsid w:val="00781ED6"/>
    <w:rsid w:val="00783B1D"/>
    <w:rsid w:val="0078400F"/>
    <w:rsid w:val="00784210"/>
    <w:rsid w:val="00784CD0"/>
    <w:rsid w:val="00785775"/>
    <w:rsid w:val="007858B3"/>
    <w:rsid w:val="007859E8"/>
    <w:rsid w:val="00787177"/>
    <w:rsid w:val="007877C5"/>
    <w:rsid w:val="00790031"/>
    <w:rsid w:val="007915D4"/>
    <w:rsid w:val="00791DCE"/>
    <w:rsid w:val="00791E22"/>
    <w:rsid w:val="00792236"/>
    <w:rsid w:val="00792360"/>
    <w:rsid w:val="007929FD"/>
    <w:rsid w:val="00792B32"/>
    <w:rsid w:val="00793387"/>
    <w:rsid w:val="00793520"/>
    <w:rsid w:val="00793E52"/>
    <w:rsid w:val="00794241"/>
    <w:rsid w:val="007943BA"/>
    <w:rsid w:val="007944C0"/>
    <w:rsid w:val="00794C30"/>
    <w:rsid w:val="00795191"/>
    <w:rsid w:val="00796C68"/>
    <w:rsid w:val="007975A1"/>
    <w:rsid w:val="00797B1E"/>
    <w:rsid w:val="007A00DF"/>
    <w:rsid w:val="007A0EB6"/>
    <w:rsid w:val="007A121B"/>
    <w:rsid w:val="007A1C6A"/>
    <w:rsid w:val="007A1C6C"/>
    <w:rsid w:val="007A201B"/>
    <w:rsid w:val="007A281B"/>
    <w:rsid w:val="007A336C"/>
    <w:rsid w:val="007A3ABB"/>
    <w:rsid w:val="007A4164"/>
    <w:rsid w:val="007A4190"/>
    <w:rsid w:val="007A4AF3"/>
    <w:rsid w:val="007A50CF"/>
    <w:rsid w:val="007A5895"/>
    <w:rsid w:val="007A59F8"/>
    <w:rsid w:val="007A5D5C"/>
    <w:rsid w:val="007A69D1"/>
    <w:rsid w:val="007A6EB3"/>
    <w:rsid w:val="007A7795"/>
    <w:rsid w:val="007A78C0"/>
    <w:rsid w:val="007A7FB9"/>
    <w:rsid w:val="007B0C9F"/>
    <w:rsid w:val="007B0E3C"/>
    <w:rsid w:val="007B0EAA"/>
    <w:rsid w:val="007B10E4"/>
    <w:rsid w:val="007B2A09"/>
    <w:rsid w:val="007B2C90"/>
    <w:rsid w:val="007B3F75"/>
    <w:rsid w:val="007B3FB0"/>
    <w:rsid w:val="007B413C"/>
    <w:rsid w:val="007B438B"/>
    <w:rsid w:val="007B4A3C"/>
    <w:rsid w:val="007B4DEB"/>
    <w:rsid w:val="007B550D"/>
    <w:rsid w:val="007B5D22"/>
    <w:rsid w:val="007B6569"/>
    <w:rsid w:val="007B658A"/>
    <w:rsid w:val="007B6D54"/>
    <w:rsid w:val="007B73D4"/>
    <w:rsid w:val="007B76A2"/>
    <w:rsid w:val="007B7945"/>
    <w:rsid w:val="007B79A6"/>
    <w:rsid w:val="007C0128"/>
    <w:rsid w:val="007C0B34"/>
    <w:rsid w:val="007C0BCA"/>
    <w:rsid w:val="007C193D"/>
    <w:rsid w:val="007C2CCC"/>
    <w:rsid w:val="007C2F6D"/>
    <w:rsid w:val="007C36DB"/>
    <w:rsid w:val="007C3C8F"/>
    <w:rsid w:val="007C3EA1"/>
    <w:rsid w:val="007C44BF"/>
    <w:rsid w:val="007C451F"/>
    <w:rsid w:val="007C4A2C"/>
    <w:rsid w:val="007C4CB8"/>
    <w:rsid w:val="007C60CC"/>
    <w:rsid w:val="007C6298"/>
    <w:rsid w:val="007C65F0"/>
    <w:rsid w:val="007C669F"/>
    <w:rsid w:val="007C6BFE"/>
    <w:rsid w:val="007C7DD1"/>
    <w:rsid w:val="007D1874"/>
    <w:rsid w:val="007D202C"/>
    <w:rsid w:val="007D23E4"/>
    <w:rsid w:val="007D2EC7"/>
    <w:rsid w:val="007D353F"/>
    <w:rsid w:val="007D4191"/>
    <w:rsid w:val="007D4470"/>
    <w:rsid w:val="007D475D"/>
    <w:rsid w:val="007D568A"/>
    <w:rsid w:val="007D6368"/>
    <w:rsid w:val="007E0C8A"/>
    <w:rsid w:val="007E132B"/>
    <w:rsid w:val="007E1657"/>
    <w:rsid w:val="007E27A5"/>
    <w:rsid w:val="007E4351"/>
    <w:rsid w:val="007E4795"/>
    <w:rsid w:val="007E56EA"/>
    <w:rsid w:val="007E5AC2"/>
    <w:rsid w:val="007E6267"/>
    <w:rsid w:val="007E63AB"/>
    <w:rsid w:val="007E643A"/>
    <w:rsid w:val="007E7184"/>
    <w:rsid w:val="007F0488"/>
    <w:rsid w:val="007F04B4"/>
    <w:rsid w:val="007F0599"/>
    <w:rsid w:val="007F0913"/>
    <w:rsid w:val="007F1EFE"/>
    <w:rsid w:val="007F2C47"/>
    <w:rsid w:val="007F4A05"/>
    <w:rsid w:val="007F4D73"/>
    <w:rsid w:val="007F55D6"/>
    <w:rsid w:val="007F5634"/>
    <w:rsid w:val="0080053A"/>
    <w:rsid w:val="008010F9"/>
    <w:rsid w:val="00801877"/>
    <w:rsid w:val="00801A2A"/>
    <w:rsid w:val="00802567"/>
    <w:rsid w:val="008048C2"/>
    <w:rsid w:val="00804A3E"/>
    <w:rsid w:val="00804B6C"/>
    <w:rsid w:val="00804FA6"/>
    <w:rsid w:val="00805E33"/>
    <w:rsid w:val="00805F32"/>
    <w:rsid w:val="00806095"/>
    <w:rsid w:val="00806D54"/>
    <w:rsid w:val="008071E8"/>
    <w:rsid w:val="008078BB"/>
    <w:rsid w:val="008079B9"/>
    <w:rsid w:val="00807BB1"/>
    <w:rsid w:val="0081056D"/>
    <w:rsid w:val="008106A9"/>
    <w:rsid w:val="0081071D"/>
    <w:rsid w:val="00810C99"/>
    <w:rsid w:val="00811047"/>
    <w:rsid w:val="00812760"/>
    <w:rsid w:val="0081326D"/>
    <w:rsid w:val="0081361E"/>
    <w:rsid w:val="008136EE"/>
    <w:rsid w:val="00816B8C"/>
    <w:rsid w:val="008178BC"/>
    <w:rsid w:val="00817C79"/>
    <w:rsid w:val="00817F57"/>
    <w:rsid w:val="00821933"/>
    <w:rsid w:val="00823B13"/>
    <w:rsid w:val="0082461B"/>
    <w:rsid w:val="008248E1"/>
    <w:rsid w:val="00824A67"/>
    <w:rsid w:val="00824F19"/>
    <w:rsid w:val="00825633"/>
    <w:rsid w:val="00825DBE"/>
    <w:rsid w:val="008266C8"/>
    <w:rsid w:val="00827B94"/>
    <w:rsid w:val="00830DF3"/>
    <w:rsid w:val="008310CF"/>
    <w:rsid w:val="008316B3"/>
    <w:rsid w:val="008323C9"/>
    <w:rsid w:val="0083263D"/>
    <w:rsid w:val="00833268"/>
    <w:rsid w:val="00834300"/>
    <w:rsid w:val="0083496E"/>
    <w:rsid w:val="00835C49"/>
    <w:rsid w:val="00835FD7"/>
    <w:rsid w:val="008360DF"/>
    <w:rsid w:val="008362B9"/>
    <w:rsid w:val="008362E3"/>
    <w:rsid w:val="00836B4C"/>
    <w:rsid w:val="00837089"/>
    <w:rsid w:val="008378E3"/>
    <w:rsid w:val="00837D07"/>
    <w:rsid w:val="0084088F"/>
    <w:rsid w:val="00840C65"/>
    <w:rsid w:val="00841C64"/>
    <w:rsid w:val="00842707"/>
    <w:rsid w:val="00842AC2"/>
    <w:rsid w:val="00844156"/>
    <w:rsid w:val="00844D59"/>
    <w:rsid w:val="00845944"/>
    <w:rsid w:val="00845BDA"/>
    <w:rsid w:val="0084647D"/>
    <w:rsid w:val="00846F23"/>
    <w:rsid w:val="0085020F"/>
    <w:rsid w:val="00850478"/>
    <w:rsid w:val="00850586"/>
    <w:rsid w:val="008508AE"/>
    <w:rsid w:val="00851914"/>
    <w:rsid w:val="0085252B"/>
    <w:rsid w:val="00852708"/>
    <w:rsid w:val="00852D1F"/>
    <w:rsid w:val="00853096"/>
    <w:rsid w:val="0085338B"/>
    <w:rsid w:val="00853E9A"/>
    <w:rsid w:val="0085431D"/>
    <w:rsid w:val="00854365"/>
    <w:rsid w:val="00854DE7"/>
    <w:rsid w:val="00855764"/>
    <w:rsid w:val="0085628C"/>
    <w:rsid w:val="00856F06"/>
    <w:rsid w:val="008574CF"/>
    <w:rsid w:val="0086073D"/>
    <w:rsid w:val="00860A3E"/>
    <w:rsid w:val="00861AB4"/>
    <w:rsid w:val="00861D8F"/>
    <w:rsid w:val="008628A6"/>
    <w:rsid w:val="00862F16"/>
    <w:rsid w:val="00863364"/>
    <w:rsid w:val="0086344F"/>
    <w:rsid w:val="00863A80"/>
    <w:rsid w:val="00864520"/>
    <w:rsid w:val="00864588"/>
    <w:rsid w:val="00864BC5"/>
    <w:rsid w:val="00864E3A"/>
    <w:rsid w:val="008656A5"/>
    <w:rsid w:val="008660C9"/>
    <w:rsid w:val="00866167"/>
    <w:rsid w:val="00866559"/>
    <w:rsid w:val="00866574"/>
    <w:rsid w:val="00866734"/>
    <w:rsid w:val="008667B6"/>
    <w:rsid w:val="00866DB3"/>
    <w:rsid w:val="008704D3"/>
    <w:rsid w:val="008704F5"/>
    <w:rsid w:val="008706DC"/>
    <w:rsid w:val="00870D6C"/>
    <w:rsid w:val="00870EB1"/>
    <w:rsid w:val="00870FE3"/>
    <w:rsid w:val="008712A0"/>
    <w:rsid w:val="0087249E"/>
    <w:rsid w:val="00872803"/>
    <w:rsid w:val="00872963"/>
    <w:rsid w:val="00872EF9"/>
    <w:rsid w:val="0087345E"/>
    <w:rsid w:val="00873DB7"/>
    <w:rsid w:val="0087450F"/>
    <w:rsid w:val="00876ECD"/>
    <w:rsid w:val="0088021B"/>
    <w:rsid w:val="00880717"/>
    <w:rsid w:val="00881178"/>
    <w:rsid w:val="0088188D"/>
    <w:rsid w:val="00881F51"/>
    <w:rsid w:val="00882BA4"/>
    <w:rsid w:val="00882E36"/>
    <w:rsid w:val="00883BE0"/>
    <w:rsid w:val="00883F13"/>
    <w:rsid w:val="00884D84"/>
    <w:rsid w:val="00885311"/>
    <w:rsid w:val="008855B2"/>
    <w:rsid w:val="00885684"/>
    <w:rsid w:val="00885C65"/>
    <w:rsid w:val="00885DC5"/>
    <w:rsid w:val="00887702"/>
    <w:rsid w:val="008879C9"/>
    <w:rsid w:val="0089017B"/>
    <w:rsid w:val="00890731"/>
    <w:rsid w:val="00890E64"/>
    <w:rsid w:val="00891548"/>
    <w:rsid w:val="00891F1A"/>
    <w:rsid w:val="00891F64"/>
    <w:rsid w:val="00892634"/>
    <w:rsid w:val="00892F63"/>
    <w:rsid w:val="00893641"/>
    <w:rsid w:val="00893732"/>
    <w:rsid w:val="00893DFB"/>
    <w:rsid w:val="008941EA"/>
    <w:rsid w:val="0089420F"/>
    <w:rsid w:val="00894AFD"/>
    <w:rsid w:val="0089568A"/>
    <w:rsid w:val="00895BE2"/>
    <w:rsid w:val="0089681E"/>
    <w:rsid w:val="008974B3"/>
    <w:rsid w:val="008A07BC"/>
    <w:rsid w:val="008A0D3E"/>
    <w:rsid w:val="008A0E21"/>
    <w:rsid w:val="008A18C6"/>
    <w:rsid w:val="008A26FF"/>
    <w:rsid w:val="008A2CE3"/>
    <w:rsid w:val="008A3597"/>
    <w:rsid w:val="008A35D5"/>
    <w:rsid w:val="008A3C86"/>
    <w:rsid w:val="008A481D"/>
    <w:rsid w:val="008A5E0B"/>
    <w:rsid w:val="008A6B4C"/>
    <w:rsid w:val="008A7168"/>
    <w:rsid w:val="008A7A5D"/>
    <w:rsid w:val="008B0A88"/>
    <w:rsid w:val="008B0AC2"/>
    <w:rsid w:val="008B11AD"/>
    <w:rsid w:val="008B1712"/>
    <w:rsid w:val="008B23D3"/>
    <w:rsid w:val="008B3254"/>
    <w:rsid w:val="008B3EA0"/>
    <w:rsid w:val="008B405F"/>
    <w:rsid w:val="008B445F"/>
    <w:rsid w:val="008B4A5E"/>
    <w:rsid w:val="008B4EAA"/>
    <w:rsid w:val="008B590E"/>
    <w:rsid w:val="008B5F75"/>
    <w:rsid w:val="008B662F"/>
    <w:rsid w:val="008B6A77"/>
    <w:rsid w:val="008B7552"/>
    <w:rsid w:val="008B7870"/>
    <w:rsid w:val="008C07B9"/>
    <w:rsid w:val="008C1104"/>
    <w:rsid w:val="008C11B9"/>
    <w:rsid w:val="008C1A9F"/>
    <w:rsid w:val="008C2047"/>
    <w:rsid w:val="008C2123"/>
    <w:rsid w:val="008C272A"/>
    <w:rsid w:val="008C2755"/>
    <w:rsid w:val="008C3F83"/>
    <w:rsid w:val="008C44EB"/>
    <w:rsid w:val="008C4874"/>
    <w:rsid w:val="008C48BC"/>
    <w:rsid w:val="008C49AD"/>
    <w:rsid w:val="008C4E17"/>
    <w:rsid w:val="008C53B8"/>
    <w:rsid w:val="008C58A9"/>
    <w:rsid w:val="008C637A"/>
    <w:rsid w:val="008C6BBC"/>
    <w:rsid w:val="008C7435"/>
    <w:rsid w:val="008D05DB"/>
    <w:rsid w:val="008D0645"/>
    <w:rsid w:val="008D08AB"/>
    <w:rsid w:val="008D1093"/>
    <w:rsid w:val="008D10B7"/>
    <w:rsid w:val="008D18EF"/>
    <w:rsid w:val="008D220D"/>
    <w:rsid w:val="008D27FC"/>
    <w:rsid w:val="008D3899"/>
    <w:rsid w:val="008D3B64"/>
    <w:rsid w:val="008D441D"/>
    <w:rsid w:val="008D4970"/>
    <w:rsid w:val="008D4B1A"/>
    <w:rsid w:val="008D50AC"/>
    <w:rsid w:val="008D5701"/>
    <w:rsid w:val="008D5F45"/>
    <w:rsid w:val="008D638A"/>
    <w:rsid w:val="008D6936"/>
    <w:rsid w:val="008D725B"/>
    <w:rsid w:val="008D76A4"/>
    <w:rsid w:val="008D780B"/>
    <w:rsid w:val="008D7EBE"/>
    <w:rsid w:val="008E078A"/>
    <w:rsid w:val="008E0E3A"/>
    <w:rsid w:val="008E14AB"/>
    <w:rsid w:val="008E1A66"/>
    <w:rsid w:val="008E1C0E"/>
    <w:rsid w:val="008E1D6A"/>
    <w:rsid w:val="008E1E08"/>
    <w:rsid w:val="008E242E"/>
    <w:rsid w:val="008E325B"/>
    <w:rsid w:val="008E35F5"/>
    <w:rsid w:val="008E3A95"/>
    <w:rsid w:val="008E4004"/>
    <w:rsid w:val="008E4651"/>
    <w:rsid w:val="008E64EA"/>
    <w:rsid w:val="008E68CA"/>
    <w:rsid w:val="008E7533"/>
    <w:rsid w:val="008F04C6"/>
    <w:rsid w:val="008F17D9"/>
    <w:rsid w:val="008F1AA1"/>
    <w:rsid w:val="008F2464"/>
    <w:rsid w:val="008F2866"/>
    <w:rsid w:val="008F327B"/>
    <w:rsid w:val="008F4311"/>
    <w:rsid w:val="008F54A0"/>
    <w:rsid w:val="008F5650"/>
    <w:rsid w:val="008F766B"/>
    <w:rsid w:val="0090009A"/>
    <w:rsid w:val="009004E8"/>
    <w:rsid w:val="0090070D"/>
    <w:rsid w:val="00901BE5"/>
    <w:rsid w:val="00902A13"/>
    <w:rsid w:val="00902CCF"/>
    <w:rsid w:val="00903103"/>
    <w:rsid w:val="00903AFE"/>
    <w:rsid w:val="009076E1"/>
    <w:rsid w:val="00907895"/>
    <w:rsid w:val="00907CE7"/>
    <w:rsid w:val="00910695"/>
    <w:rsid w:val="00911EA8"/>
    <w:rsid w:val="00911F0E"/>
    <w:rsid w:val="009127D5"/>
    <w:rsid w:val="0091292B"/>
    <w:rsid w:val="00912C13"/>
    <w:rsid w:val="00914856"/>
    <w:rsid w:val="00914FF3"/>
    <w:rsid w:val="0091734C"/>
    <w:rsid w:val="00917A6B"/>
    <w:rsid w:val="00920152"/>
    <w:rsid w:val="009202EA"/>
    <w:rsid w:val="0092039F"/>
    <w:rsid w:val="00920CAB"/>
    <w:rsid w:val="00920D13"/>
    <w:rsid w:val="00920F78"/>
    <w:rsid w:val="009214D0"/>
    <w:rsid w:val="00921D2F"/>
    <w:rsid w:val="00921F6C"/>
    <w:rsid w:val="00922EDC"/>
    <w:rsid w:val="00923C8E"/>
    <w:rsid w:val="0092458B"/>
    <w:rsid w:val="00924CF0"/>
    <w:rsid w:val="00925684"/>
    <w:rsid w:val="00925759"/>
    <w:rsid w:val="00925A5D"/>
    <w:rsid w:val="0092623C"/>
    <w:rsid w:val="009265DE"/>
    <w:rsid w:val="00930845"/>
    <w:rsid w:val="009309DC"/>
    <w:rsid w:val="00931C34"/>
    <w:rsid w:val="00931DE7"/>
    <w:rsid w:val="00931EA4"/>
    <w:rsid w:val="009321BF"/>
    <w:rsid w:val="00932C24"/>
    <w:rsid w:val="009336FA"/>
    <w:rsid w:val="00933D1E"/>
    <w:rsid w:val="00933D4D"/>
    <w:rsid w:val="00934AED"/>
    <w:rsid w:val="00935590"/>
    <w:rsid w:val="009358F6"/>
    <w:rsid w:val="00935F3F"/>
    <w:rsid w:val="00936A3B"/>
    <w:rsid w:val="00936BDE"/>
    <w:rsid w:val="00937E06"/>
    <w:rsid w:val="0094013B"/>
    <w:rsid w:val="009404BB"/>
    <w:rsid w:val="00940551"/>
    <w:rsid w:val="00940EC2"/>
    <w:rsid w:val="00940FEC"/>
    <w:rsid w:val="0094157D"/>
    <w:rsid w:val="009418E7"/>
    <w:rsid w:val="00942232"/>
    <w:rsid w:val="00942708"/>
    <w:rsid w:val="00942FC0"/>
    <w:rsid w:val="00943496"/>
    <w:rsid w:val="00943B23"/>
    <w:rsid w:val="00944B98"/>
    <w:rsid w:val="009452DD"/>
    <w:rsid w:val="00946350"/>
    <w:rsid w:val="009464D5"/>
    <w:rsid w:val="009465D7"/>
    <w:rsid w:val="00947519"/>
    <w:rsid w:val="009475B1"/>
    <w:rsid w:val="0095126C"/>
    <w:rsid w:val="009524CA"/>
    <w:rsid w:val="00952B81"/>
    <w:rsid w:val="009530BA"/>
    <w:rsid w:val="00953610"/>
    <w:rsid w:val="00953B4D"/>
    <w:rsid w:val="009548FC"/>
    <w:rsid w:val="009555D3"/>
    <w:rsid w:val="00955958"/>
    <w:rsid w:val="00955FA3"/>
    <w:rsid w:val="009560DE"/>
    <w:rsid w:val="009561A7"/>
    <w:rsid w:val="009565BF"/>
    <w:rsid w:val="00956CAA"/>
    <w:rsid w:val="00960755"/>
    <w:rsid w:val="00960E18"/>
    <w:rsid w:val="00961D8A"/>
    <w:rsid w:val="0096375A"/>
    <w:rsid w:val="00963D3C"/>
    <w:rsid w:val="009640BB"/>
    <w:rsid w:val="00964C75"/>
    <w:rsid w:val="00965222"/>
    <w:rsid w:val="00966042"/>
    <w:rsid w:val="009660FF"/>
    <w:rsid w:val="0096614D"/>
    <w:rsid w:val="00966324"/>
    <w:rsid w:val="00970677"/>
    <w:rsid w:val="009706D7"/>
    <w:rsid w:val="0097113B"/>
    <w:rsid w:val="00971268"/>
    <w:rsid w:val="00971413"/>
    <w:rsid w:val="00971809"/>
    <w:rsid w:val="00971EDB"/>
    <w:rsid w:val="009730EC"/>
    <w:rsid w:val="00973D0F"/>
    <w:rsid w:val="00973F5B"/>
    <w:rsid w:val="0097654C"/>
    <w:rsid w:val="0097682F"/>
    <w:rsid w:val="00977036"/>
    <w:rsid w:val="009775AE"/>
    <w:rsid w:val="00977F33"/>
    <w:rsid w:val="00977FEF"/>
    <w:rsid w:val="009814C7"/>
    <w:rsid w:val="0098158A"/>
    <w:rsid w:val="00982C1E"/>
    <w:rsid w:val="00982FF8"/>
    <w:rsid w:val="00984394"/>
    <w:rsid w:val="009848B6"/>
    <w:rsid w:val="00984D73"/>
    <w:rsid w:val="0098557E"/>
    <w:rsid w:val="00986120"/>
    <w:rsid w:val="00986A63"/>
    <w:rsid w:val="009873A7"/>
    <w:rsid w:val="00987EC7"/>
    <w:rsid w:val="00987FEC"/>
    <w:rsid w:val="00990576"/>
    <w:rsid w:val="0099058F"/>
    <w:rsid w:val="0099130F"/>
    <w:rsid w:val="00991695"/>
    <w:rsid w:val="009916F6"/>
    <w:rsid w:val="00991A2C"/>
    <w:rsid w:val="00991E6E"/>
    <w:rsid w:val="00992AF3"/>
    <w:rsid w:val="00992C65"/>
    <w:rsid w:val="009952A6"/>
    <w:rsid w:val="00997456"/>
    <w:rsid w:val="009A07B0"/>
    <w:rsid w:val="009A094B"/>
    <w:rsid w:val="009A0B3B"/>
    <w:rsid w:val="009A0EB1"/>
    <w:rsid w:val="009A1450"/>
    <w:rsid w:val="009A165A"/>
    <w:rsid w:val="009A1719"/>
    <w:rsid w:val="009A1A34"/>
    <w:rsid w:val="009A204A"/>
    <w:rsid w:val="009A311C"/>
    <w:rsid w:val="009A3130"/>
    <w:rsid w:val="009A3D0B"/>
    <w:rsid w:val="009A3F5B"/>
    <w:rsid w:val="009A4117"/>
    <w:rsid w:val="009A4229"/>
    <w:rsid w:val="009A42F2"/>
    <w:rsid w:val="009A58E2"/>
    <w:rsid w:val="009A5A87"/>
    <w:rsid w:val="009B011B"/>
    <w:rsid w:val="009B0652"/>
    <w:rsid w:val="009B2024"/>
    <w:rsid w:val="009B2689"/>
    <w:rsid w:val="009B2A47"/>
    <w:rsid w:val="009B2E57"/>
    <w:rsid w:val="009B3610"/>
    <w:rsid w:val="009B36D9"/>
    <w:rsid w:val="009B37A0"/>
    <w:rsid w:val="009B3BC8"/>
    <w:rsid w:val="009B4098"/>
    <w:rsid w:val="009B46C1"/>
    <w:rsid w:val="009B4C10"/>
    <w:rsid w:val="009B59D2"/>
    <w:rsid w:val="009B5EDD"/>
    <w:rsid w:val="009B665E"/>
    <w:rsid w:val="009B703C"/>
    <w:rsid w:val="009B76DE"/>
    <w:rsid w:val="009C09A0"/>
    <w:rsid w:val="009C1908"/>
    <w:rsid w:val="009C1C80"/>
    <w:rsid w:val="009C3570"/>
    <w:rsid w:val="009C3739"/>
    <w:rsid w:val="009C3AFE"/>
    <w:rsid w:val="009C40B4"/>
    <w:rsid w:val="009C4756"/>
    <w:rsid w:val="009C4828"/>
    <w:rsid w:val="009C5B44"/>
    <w:rsid w:val="009C5C52"/>
    <w:rsid w:val="009C6951"/>
    <w:rsid w:val="009C759F"/>
    <w:rsid w:val="009C7806"/>
    <w:rsid w:val="009C7808"/>
    <w:rsid w:val="009C7D51"/>
    <w:rsid w:val="009D0CE0"/>
    <w:rsid w:val="009D0F6E"/>
    <w:rsid w:val="009D17BC"/>
    <w:rsid w:val="009D1893"/>
    <w:rsid w:val="009D2241"/>
    <w:rsid w:val="009D24AA"/>
    <w:rsid w:val="009D24DD"/>
    <w:rsid w:val="009D3A6E"/>
    <w:rsid w:val="009D3D12"/>
    <w:rsid w:val="009D477E"/>
    <w:rsid w:val="009D47FE"/>
    <w:rsid w:val="009D4979"/>
    <w:rsid w:val="009D4AF5"/>
    <w:rsid w:val="009D654F"/>
    <w:rsid w:val="009D6B4C"/>
    <w:rsid w:val="009D786A"/>
    <w:rsid w:val="009D7F10"/>
    <w:rsid w:val="009E0C55"/>
    <w:rsid w:val="009E1E81"/>
    <w:rsid w:val="009E2835"/>
    <w:rsid w:val="009E2EEF"/>
    <w:rsid w:val="009E3BA5"/>
    <w:rsid w:val="009E4C7A"/>
    <w:rsid w:val="009E557F"/>
    <w:rsid w:val="009E5B0C"/>
    <w:rsid w:val="009E766B"/>
    <w:rsid w:val="009E79BE"/>
    <w:rsid w:val="009F046E"/>
    <w:rsid w:val="009F1171"/>
    <w:rsid w:val="009F17D2"/>
    <w:rsid w:val="009F2765"/>
    <w:rsid w:val="009F2AAE"/>
    <w:rsid w:val="009F2D63"/>
    <w:rsid w:val="009F3D82"/>
    <w:rsid w:val="009F4391"/>
    <w:rsid w:val="009F5264"/>
    <w:rsid w:val="009F5F8D"/>
    <w:rsid w:val="009F634E"/>
    <w:rsid w:val="009F7C58"/>
    <w:rsid w:val="009F7D92"/>
    <w:rsid w:val="00A005E0"/>
    <w:rsid w:val="00A0067C"/>
    <w:rsid w:val="00A01179"/>
    <w:rsid w:val="00A011C4"/>
    <w:rsid w:val="00A0134F"/>
    <w:rsid w:val="00A0147A"/>
    <w:rsid w:val="00A0169F"/>
    <w:rsid w:val="00A01C95"/>
    <w:rsid w:val="00A01F6C"/>
    <w:rsid w:val="00A02ACD"/>
    <w:rsid w:val="00A03835"/>
    <w:rsid w:val="00A03890"/>
    <w:rsid w:val="00A04F88"/>
    <w:rsid w:val="00A05512"/>
    <w:rsid w:val="00A059B1"/>
    <w:rsid w:val="00A064AD"/>
    <w:rsid w:val="00A066A8"/>
    <w:rsid w:val="00A068F7"/>
    <w:rsid w:val="00A07982"/>
    <w:rsid w:val="00A10071"/>
    <w:rsid w:val="00A101C4"/>
    <w:rsid w:val="00A1287A"/>
    <w:rsid w:val="00A13163"/>
    <w:rsid w:val="00A13B8B"/>
    <w:rsid w:val="00A1443C"/>
    <w:rsid w:val="00A14FD2"/>
    <w:rsid w:val="00A1505F"/>
    <w:rsid w:val="00A1538D"/>
    <w:rsid w:val="00A16212"/>
    <w:rsid w:val="00A1679A"/>
    <w:rsid w:val="00A17E51"/>
    <w:rsid w:val="00A17FBD"/>
    <w:rsid w:val="00A202FB"/>
    <w:rsid w:val="00A205A0"/>
    <w:rsid w:val="00A20D2A"/>
    <w:rsid w:val="00A20DC6"/>
    <w:rsid w:val="00A21F94"/>
    <w:rsid w:val="00A2285E"/>
    <w:rsid w:val="00A25039"/>
    <w:rsid w:val="00A25341"/>
    <w:rsid w:val="00A2582F"/>
    <w:rsid w:val="00A25AA3"/>
    <w:rsid w:val="00A268CB"/>
    <w:rsid w:val="00A26DEC"/>
    <w:rsid w:val="00A26E18"/>
    <w:rsid w:val="00A30440"/>
    <w:rsid w:val="00A306CA"/>
    <w:rsid w:val="00A3075D"/>
    <w:rsid w:val="00A320A0"/>
    <w:rsid w:val="00A324B6"/>
    <w:rsid w:val="00A33073"/>
    <w:rsid w:val="00A33998"/>
    <w:rsid w:val="00A34A1C"/>
    <w:rsid w:val="00A35CEE"/>
    <w:rsid w:val="00A36E05"/>
    <w:rsid w:val="00A36E31"/>
    <w:rsid w:val="00A3791E"/>
    <w:rsid w:val="00A40311"/>
    <w:rsid w:val="00A4048A"/>
    <w:rsid w:val="00A410ED"/>
    <w:rsid w:val="00A41965"/>
    <w:rsid w:val="00A41F4E"/>
    <w:rsid w:val="00A425F4"/>
    <w:rsid w:val="00A43E85"/>
    <w:rsid w:val="00A445D2"/>
    <w:rsid w:val="00A44EAD"/>
    <w:rsid w:val="00A45643"/>
    <w:rsid w:val="00A45AE5"/>
    <w:rsid w:val="00A47F8C"/>
    <w:rsid w:val="00A5052E"/>
    <w:rsid w:val="00A517DB"/>
    <w:rsid w:val="00A53161"/>
    <w:rsid w:val="00A53B8A"/>
    <w:rsid w:val="00A53E7A"/>
    <w:rsid w:val="00A54254"/>
    <w:rsid w:val="00A542B5"/>
    <w:rsid w:val="00A5448B"/>
    <w:rsid w:val="00A554F7"/>
    <w:rsid w:val="00A557A8"/>
    <w:rsid w:val="00A55D29"/>
    <w:rsid w:val="00A577E1"/>
    <w:rsid w:val="00A57BD1"/>
    <w:rsid w:val="00A57F2E"/>
    <w:rsid w:val="00A60138"/>
    <w:rsid w:val="00A6085D"/>
    <w:rsid w:val="00A60A09"/>
    <w:rsid w:val="00A60E5E"/>
    <w:rsid w:val="00A60FDD"/>
    <w:rsid w:val="00A610D9"/>
    <w:rsid w:val="00A61659"/>
    <w:rsid w:val="00A61D40"/>
    <w:rsid w:val="00A61DCD"/>
    <w:rsid w:val="00A62023"/>
    <w:rsid w:val="00A62059"/>
    <w:rsid w:val="00A6266F"/>
    <w:rsid w:val="00A62F75"/>
    <w:rsid w:val="00A63C54"/>
    <w:rsid w:val="00A6416B"/>
    <w:rsid w:val="00A64DCE"/>
    <w:rsid w:val="00A64EED"/>
    <w:rsid w:val="00A65042"/>
    <w:rsid w:val="00A65347"/>
    <w:rsid w:val="00A65356"/>
    <w:rsid w:val="00A6572D"/>
    <w:rsid w:val="00A66771"/>
    <w:rsid w:val="00A67216"/>
    <w:rsid w:val="00A71456"/>
    <w:rsid w:val="00A71D7F"/>
    <w:rsid w:val="00A72593"/>
    <w:rsid w:val="00A72831"/>
    <w:rsid w:val="00A72D4F"/>
    <w:rsid w:val="00A73081"/>
    <w:rsid w:val="00A73C22"/>
    <w:rsid w:val="00A73E06"/>
    <w:rsid w:val="00A73E5C"/>
    <w:rsid w:val="00A744E9"/>
    <w:rsid w:val="00A747BE"/>
    <w:rsid w:val="00A74EB2"/>
    <w:rsid w:val="00A74F8C"/>
    <w:rsid w:val="00A775C9"/>
    <w:rsid w:val="00A77A5E"/>
    <w:rsid w:val="00A77DDB"/>
    <w:rsid w:val="00A8053D"/>
    <w:rsid w:val="00A807CE"/>
    <w:rsid w:val="00A80BC5"/>
    <w:rsid w:val="00A80C6D"/>
    <w:rsid w:val="00A816DD"/>
    <w:rsid w:val="00A818B6"/>
    <w:rsid w:val="00A81D95"/>
    <w:rsid w:val="00A82153"/>
    <w:rsid w:val="00A82EBD"/>
    <w:rsid w:val="00A83E04"/>
    <w:rsid w:val="00A8482F"/>
    <w:rsid w:val="00A85959"/>
    <w:rsid w:val="00A8651D"/>
    <w:rsid w:val="00A866EA"/>
    <w:rsid w:val="00A868A8"/>
    <w:rsid w:val="00A868AA"/>
    <w:rsid w:val="00A87A2C"/>
    <w:rsid w:val="00A90856"/>
    <w:rsid w:val="00A9137C"/>
    <w:rsid w:val="00A91556"/>
    <w:rsid w:val="00A919CE"/>
    <w:rsid w:val="00A92469"/>
    <w:rsid w:val="00A93314"/>
    <w:rsid w:val="00A93D4E"/>
    <w:rsid w:val="00A945FE"/>
    <w:rsid w:val="00A95360"/>
    <w:rsid w:val="00A9591F"/>
    <w:rsid w:val="00A961E0"/>
    <w:rsid w:val="00A964FA"/>
    <w:rsid w:val="00A96995"/>
    <w:rsid w:val="00A97B69"/>
    <w:rsid w:val="00AA0116"/>
    <w:rsid w:val="00AA045B"/>
    <w:rsid w:val="00AA0772"/>
    <w:rsid w:val="00AA2D97"/>
    <w:rsid w:val="00AA3084"/>
    <w:rsid w:val="00AA3517"/>
    <w:rsid w:val="00AA3C26"/>
    <w:rsid w:val="00AA4344"/>
    <w:rsid w:val="00AA47E7"/>
    <w:rsid w:val="00AA47F5"/>
    <w:rsid w:val="00AA4C2A"/>
    <w:rsid w:val="00AA5017"/>
    <w:rsid w:val="00AA5376"/>
    <w:rsid w:val="00AA5A7E"/>
    <w:rsid w:val="00AA5C24"/>
    <w:rsid w:val="00AA6C2C"/>
    <w:rsid w:val="00AA6D0B"/>
    <w:rsid w:val="00AA7663"/>
    <w:rsid w:val="00AA7BE3"/>
    <w:rsid w:val="00AB0AF2"/>
    <w:rsid w:val="00AB1051"/>
    <w:rsid w:val="00AB1290"/>
    <w:rsid w:val="00AB13FB"/>
    <w:rsid w:val="00AB148C"/>
    <w:rsid w:val="00AB18F2"/>
    <w:rsid w:val="00AB21C9"/>
    <w:rsid w:val="00AB22EF"/>
    <w:rsid w:val="00AB23A7"/>
    <w:rsid w:val="00AB39A0"/>
    <w:rsid w:val="00AB3FEE"/>
    <w:rsid w:val="00AB4516"/>
    <w:rsid w:val="00AB4C6C"/>
    <w:rsid w:val="00AB5553"/>
    <w:rsid w:val="00AB566E"/>
    <w:rsid w:val="00AB6BC2"/>
    <w:rsid w:val="00AB6E17"/>
    <w:rsid w:val="00AC01AF"/>
    <w:rsid w:val="00AC0AF2"/>
    <w:rsid w:val="00AC0E25"/>
    <w:rsid w:val="00AC1064"/>
    <w:rsid w:val="00AC1444"/>
    <w:rsid w:val="00AC1643"/>
    <w:rsid w:val="00AC1D4B"/>
    <w:rsid w:val="00AC1F67"/>
    <w:rsid w:val="00AC22DC"/>
    <w:rsid w:val="00AC3714"/>
    <w:rsid w:val="00AC4E8B"/>
    <w:rsid w:val="00AC51E1"/>
    <w:rsid w:val="00AC62E3"/>
    <w:rsid w:val="00AC63DF"/>
    <w:rsid w:val="00AC7726"/>
    <w:rsid w:val="00AC7B66"/>
    <w:rsid w:val="00AC7C4F"/>
    <w:rsid w:val="00AD050B"/>
    <w:rsid w:val="00AD2120"/>
    <w:rsid w:val="00AD2E86"/>
    <w:rsid w:val="00AD3499"/>
    <w:rsid w:val="00AD35A9"/>
    <w:rsid w:val="00AD382D"/>
    <w:rsid w:val="00AD3BB6"/>
    <w:rsid w:val="00AD41AA"/>
    <w:rsid w:val="00AD42E4"/>
    <w:rsid w:val="00AD5962"/>
    <w:rsid w:val="00AD5ED4"/>
    <w:rsid w:val="00AD684F"/>
    <w:rsid w:val="00AD6F18"/>
    <w:rsid w:val="00AE0671"/>
    <w:rsid w:val="00AE08D5"/>
    <w:rsid w:val="00AE0AFC"/>
    <w:rsid w:val="00AE1AC4"/>
    <w:rsid w:val="00AE1E2E"/>
    <w:rsid w:val="00AE2177"/>
    <w:rsid w:val="00AE28EF"/>
    <w:rsid w:val="00AE2C1A"/>
    <w:rsid w:val="00AE2EBE"/>
    <w:rsid w:val="00AE58F5"/>
    <w:rsid w:val="00AE6317"/>
    <w:rsid w:val="00AE64CA"/>
    <w:rsid w:val="00AF0622"/>
    <w:rsid w:val="00AF06F9"/>
    <w:rsid w:val="00AF08DB"/>
    <w:rsid w:val="00AF0FDB"/>
    <w:rsid w:val="00AF10D9"/>
    <w:rsid w:val="00AF1908"/>
    <w:rsid w:val="00AF2C40"/>
    <w:rsid w:val="00AF38DB"/>
    <w:rsid w:val="00AF40DE"/>
    <w:rsid w:val="00AF4339"/>
    <w:rsid w:val="00AF480A"/>
    <w:rsid w:val="00AF5042"/>
    <w:rsid w:val="00AF529C"/>
    <w:rsid w:val="00AF5403"/>
    <w:rsid w:val="00AF5DEE"/>
    <w:rsid w:val="00AF7120"/>
    <w:rsid w:val="00AF752A"/>
    <w:rsid w:val="00B0010F"/>
    <w:rsid w:val="00B00860"/>
    <w:rsid w:val="00B00B57"/>
    <w:rsid w:val="00B014C5"/>
    <w:rsid w:val="00B02294"/>
    <w:rsid w:val="00B023ED"/>
    <w:rsid w:val="00B025AA"/>
    <w:rsid w:val="00B0275B"/>
    <w:rsid w:val="00B02C22"/>
    <w:rsid w:val="00B02CA5"/>
    <w:rsid w:val="00B035AD"/>
    <w:rsid w:val="00B0378C"/>
    <w:rsid w:val="00B043DC"/>
    <w:rsid w:val="00B04A7A"/>
    <w:rsid w:val="00B04D59"/>
    <w:rsid w:val="00B05372"/>
    <w:rsid w:val="00B05665"/>
    <w:rsid w:val="00B05923"/>
    <w:rsid w:val="00B07AB1"/>
    <w:rsid w:val="00B07B5A"/>
    <w:rsid w:val="00B11F63"/>
    <w:rsid w:val="00B1221D"/>
    <w:rsid w:val="00B1282B"/>
    <w:rsid w:val="00B12C0D"/>
    <w:rsid w:val="00B140E1"/>
    <w:rsid w:val="00B14B6C"/>
    <w:rsid w:val="00B14BE9"/>
    <w:rsid w:val="00B14F45"/>
    <w:rsid w:val="00B156BF"/>
    <w:rsid w:val="00B16594"/>
    <w:rsid w:val="00B16740"/>
    <w:rsid w:val="00B17271"/>
    <w:rsid w:val="00B1742B"/>
    <w:rsid w:val="00B17CEE"/>
    <w:rsid w:val="00B208DA"/>
    <w:rsid w:val="00B20975"/>
    <w:rsid w:val="00B214D8"/>
    <w:rsid w:val="00B22B76"/>
    <w:rsid w:val="00B23C8E"/>
    <w:rsid w:val="00B240C7"/>
    <w:rsid w:val="00B243A6"/>
    <w:rsid w:val="00B2489D"/>
    <w:rsid w:val="00B24951"/>
    <w:rsid w:val="00B24A92"/>
    <w:rsid w:val="00B25852"/>
    <w:rsid w:val="00B25C4B"/>
    <w:rsid w:val="00B262DD"/>
    <w:rsid w:val="00B263E1"/>
    <w:rsid w:val="00B26D9B"/>
    <w:rsid w:val="00B2720B"/>
    <w:rsid w:val="00B27D4C"/>
    <w:rsid w:val="00B308AC"/>
    <w:rsid w:val="00B30CB8"/>
    <w:rsid w:val="00B30EC2"/>
    <w:rsid w:val="00B31378"/>
    <w:rsid w:val="00B31799"/>
    <w:rsid w:val="00B31FCA"/>
    <w:rsid w:val="00B337C2"/>
    <w:rsid w:val="00B3406C"/>
    <w:rsid w:val="00B344D5"/>
    <w:rsid w:val="00B3565A"/>
    <w:rsid w:val="00B36E5D"/>
    <w:rsid w:val="00B36F3D"/>
    <w:rsid w:val="00B37177"/>
    <w:rsid w:val="00B375C5"/>
    <w:rsid w:val="00B403C1"/>
    <w:rsid w:val="00B407B5"/>
    <w:rsid w:val="00B40E5D"/>
    <w:rsid w:val="00B410C6"/>
    <w:rsid w:val="00B4126A"/>
    <w:rsid w:val="00B41C46"/>
    <w:rsid w:val="00B41DF2"/>
    <w:rsid w:val="00B42179"/>
    <w:rsid w:val="00B42737"/>
    <w:rsid w:val="00B42A64"/>
    <w:rsid w:val="00B42D36"/>
    <w:rsid w:val="00B43C3D"/>
    <w:rsid w:val="00B445BB"/>
    <w:rsid w:val="00B44BE6"/>
    <w:rsid w:val="00B451BF"/>
    <w:rsid w:val="00B45307"/>
    <w:rsid w:val="00B4578B"/>
    <w:rsid w:val="00B45814"/>
    <w:rsid w:val="00B45D8B"/>
    <w:rsid w:val="00B46258"/>
    <w:rsid w:val="00B465B1"/>
    <w:rsid w:val="00B4689C"/>
    <w:rsid w:val="00B503A8"/>
    <w:rsid w:val="00B50EAF"/>
    <w:rsid w:val="00B528B4"/>
    <w:rsid w:val="00B52B3B"/>
    <w:rsid w:val="00B54B88"/>
    <w:rsid w:val="00B54CC3"/>
    <w:rsid w:val="00B54E75"/>
    <w:rsid w:val="00B54F3F"/>
    <w:rsid w:val="00B54F55"/>
    <w:rsid w:val="00B56256"/>
    <w:rsid w:val="00B56533"/>
    <w:rsid w:val="00B56953"/>
    <w:rsid w:val="00B60B43"/>
    <w:rsid w:val="00B60FBC"/>
    <w:rsid w:val="00B61083"/>
    <w:rsid w:val="00B629C4"/>
    <w:rsid w:val="00B63DEF"/>
    <w:rsid w:val="00B649E1"/>
    <w:rsid w:val="00B66DA1"/>
    <w:rsid w:val="00B67032"/>
    <w:rsid w:val="00B670FD"/>
    <w:rsid w:val="00B6788A"/>
    <w:rsid w:val="00B67AF6"/>
    <w:rsid w:val="00B71111"/>
    <w:rsid w:val="00B71E20"/>
    <w:rsid w:val="00B72C3B"/>
    <w:rsid w:val="00B72E70"/>
    <w:rsid w:val="00B7356A"/>
    <w:rsid w:val="00B7393F"/>
    <w:rsid w:val="00B75B77"/>
    <w:rsid w:val="00B77022"/>
    <w:rsid w:val="00B77ADE"/>
    <w:rsid w:val="00B77EB4"/>
    <w:rsid w:val="00B801AA"/>
    <w:rsid w:val="00B8074E"/>
    <w:rsid w:val="00B808FA"/>
    <w:rsid w:val="00B813F0"/>
    <w:rsid w:val="00B8148B"/>
    <w:rsid w:val="00B8164A"/>
    <w:rsid w:val="00B816C1"/>
    <w:rsid w:val="00B82E22"/>
    <w:rsid w:val="00B83481"/>
    <w:rsid w:val="00B83993"/>
    <w:rsid w:val="00B84054"/>
    <w:rsid w:val="00B85153"/>
    <w:rsid w:val="00B85F30"/>
    <w:rsid w:val="00B86096"/>
    <w:rsid w:val="00B8674C"/>
    <w:rsid w:val="00B86C62"/>
    <w:rsid w:val="00B870C4"/>
    <w:rsid w:val="00B8766D"/>
    <w:rsid w:val="00B87A8F"/>
    <w:rsid w:val="00B87FAD"/>
    <w:rsid w:val="00B90048"/>
    <w:rsid w:val="00B90D0F"/>
    <w:rsid w:val="00B91D87"/>
    <w:rsid w:val="00B9248A"/>
    <w:rsid w:val="00B9380A"/>
    <w:rsid w:val="00B94389"/>
    <w:rsid w:val="00B94604"/>
    <w:rsid w:val="00B94AB7"/>
    <w:rsid w:val="00B94D66"/>
    <w:rsid w:val="00B94E01"/>
    <w:rsid w:val="00B9525B"/>
    <w:rsid w:val="00B954C3"/>
    <w:rsid w:val="00B95957"/>
    <w:rsid w:val="00B9658A"/>
    <w:rsid w:val="00B97309"/>
    <w:rsid w:val="00B97746"/>
    <w:rsid w:val="00B97760"/>
    <w:rsid w:val="00B978E7"/>
    <w:rsid w:val="00B97D22"/>
    <w:rsid w:val="00B97FEF"/>
    <w:rsid w:val="00BA0354"/>
    <w:rsid w:val="00BA03B8"/>
    <w:rsid w:val="00BA03C5"/>
    <w:rsid w:val="00BA0428"/>
    <w:rsid w:val="00BA26AA"/>
    <w:rsid w:val="00BA32DD"/>
    <w:rsid w:val="00BA3628"/>
    <w:rsid w:val="00BA36F9"/>
    <w:rsid w:val="00BA3825"/>
    <w:rsid w:val="00BA3E11"/>
    <w:rsid w:val="00BA45C3"/>
    <w:rsid w:val="00BA4C17"/>
    <w:rsid w:val="00BA51C8"/>
    <w:rsid w:val="00BA57BC"/>
    <w:rsid w:val="00BA592E"/>
    <w:rsid w:val="00BA5CFC"/>
    <w:rsid w:val="00BA64FB"/>
    <w:rsid w:val="00BA6BE6"/>
    <w:rsid w:val="00BA6DD1"/>
    <w:rsid w:val="00BA6FF6"/>
    <w:rsid w:val="00BA72FB"/>
    <w:rsid w:val="00BA7BE1"/>
    <w:rsid w:val="00BA7C5A"/>
    <w:rsid w:val="00BB00B2"/>
    <w:rsid w:val="00BB062E"/>
    <w:rsid w:val="00BB0E71"/>
    <w:rsid w:val="00BB1762"/>
    <w:rsid w:val="00BB2922"/>
    <w:rsid w:val="00BB3129"/>
    <w:rsid w:val="00BB5C34"/>
    <w:rsid w:val="00BB5C36"/>
    <w:rsid w:val="00BB6129"/>
    <w:rsid w:val="00BB6F48"/>
    <w:rsid w:val="00BB7359"/>
    <w:rsid w:val="00BC06F5"/>
    <w:rsid w:val="00BC1144"/>
    <w:rsid w:val="00BC2454"/>
    <w:rsid w:val="00BC254E"/>
    <w:rsid w:val="00BC2681"/>
    <w:rsid w:val="00BC334B"/>
    <w:rsid w:val="00BC34B5"/>
    <w:rsid w:val="00BC35E9"/>
    <w:rsid w:val="00BC418E"/>
    <w:rsid w:val="00BC4630"/>
    <w:rsid w:val="00BC4A1C"/>
    <w:rsid w:val="00BC5726"/>
    <w:rsid w:val="00BC5A48"/>
    <w:rsid w:val="00BC6B13"/>
    <w:rsid w:val="00BC6B58"/>
    <w:rsid w:val="00BC70E5"/>
    <w:rsid w:val="00BC717F"/>
    <w:rsid w:val="00BC7288"/>
    <w:rsid w:val="00BC7767"/>
    <w:rsid w:val="00BD0401"/>
    <w:rsid w:val="00BD0E2D"/>
    <w:rsid w:val="00BD15B6"/>
    <w:rsid w:val="00BD19D7"/>
    <w:rsid w:val="00BD1BFF"/>
    <w:rsid w:val="00BD29F6"/>
    <w:rsid w:val="00BD2B39"/>
    <w:rsid w:val="00BD2D53"/>
    <w:rsid w:val="00BD34C1"/>
    <w:rsid w:val="00BD482A"/>
    <w:rsid w:val="00BD5DF1"/>
    <w:rsid w:val="00BD61E7"/>
    <w:rsid w:val="00BD64B9"/>
    <w:rsid w:val="00BD68F3"/>
    <w:rsid w:val="00BD7656"/>
    <w:rsid w:val="00BD7C3B"/>
    <w:rsid w:val="00BE03A4"/>
    <w:rsid w:val="00BE08F8"/>
    <w:rsid w:val="00BE0EFB"/>
    <w:rsid w:val="00BE150E"/>
    <w:rsid w:val="00BE2256"/>
    <w:rsid w:val="00BE2608"/>
    <w:rsid w:val="00BE2BD8"/>
    <w:rsid w:val="00BE2BDB"/>
    <w:rsid w:val="00BE2D57"/>
    <w:rsid w:val="00BE2FEC"/>
    <w:rsid w:val="00BE340B"/>
    <w:rsid w:val="00BE411C"/>
    <w:rsid w:val="00BE423B"/>
    <w:rsid w:val="00BE4414"/>
    <w:rsid w:val="00BE45DC"/>
    <w:rsid w:val="00BE52D1"/>
    <w:rsid w:val="00BE53A1"/>
    <w:rsid w:val="00BE5EB1"/>
    <w:rsid w:val="00BE5EFA"/>
    <w:rsid w:val="00BE6801"/>
    <w:rsid w:val="00BE689E"/>
    <w:rsid w:val="00BE715A"/>
    <w:rsid w:val="00BE79FF"/>
    <w:rsid w:val="00BF064C"/>
    <w:rsid w:val="00BF06A1"/>
    <w:rsid w:val="00BF1F3B"/>
    <w:rsid w:val="00BF2953"/>
    <w:rsid w:val="00BF2CD4"/>
    <w:rsid w:val="00BF2D0B"/>
    <w:rsid w:val="00BF37F9"/>
    <w:rsid w:val="00BF3D35"/>
    <w:rsid w:val="00BF3F81"/>
    <w:rsid w:val="00BF429D"/>
    <w:rsid w:val="00BF42B5"/>
    <w:rsid w:val="00BF4818"/>
    <w:rsid w:val="00BF5E75"/>
    <w:rsid w:val="00BF6EAD"/>
    <w:rsid w:val="00BF7517"/>
    <w:rsid w:val="00BF77B0"/>
    <w:rsid w:val="00BF7C25"/>
    <w:rsid w:val="00C009A4"/>
    <w:rsid w:val="00C00AD8"/>
    <w:rsid w:val="00C00E24"/>
    <w:rsid w:val="00C01AFB"/>
    <w:rsid w:val="00C02C55"/>
    <w:rsid w:val="00C036C1"/>
    <w:rsid w:val="00C03E81"/>
    <w:rsid w:val="00C04C67"/>
    <w:rsid w:val="00C06112"/>
    <w:rsid w:val="00C066D6"/>
    <w:rsid w:val="00C06A63"/>
    <w:rsid w:val="00C06E0E"/>
    <w:rsid w:val="00C0798F"/>
    <w:rsid w:val="00C110AC"/>
    <w:rsid w:val="00C11C60"/>
    <w:rsid w:val="00C13014"/>
    <w:rsid w:val="00C13661"/>
    <w:rsid w:val="00C13E78"/>
    <w:rsid w:val="00C142DE"/>
    <w:rsid w:val="00C1451E"/>
    <w:rsid w:val="00C14C0C"/>
    <w:rsid w:val="00C156F3"/>
    <w:rsid w:val="00C15B67"/>
    <w:rsid w:val="00C15BD3"/>
    <w:rsid w:val="00C15F23"/>
    <w:rsid w:val="00C15FAD"/>
    <w:rsid w:val="00C16794"/>
    <w:rsid w:val="00C213C3"/>
    <w:rsid w:val="00C21790"/>
    <w:rsid w:val="00C22F30"/>
    <w:rsid w:val="00C230A4"/>
    <w:rsid w:val="00C23149"/>
    <w:rsid w:val="00C23298"/>
    <w:rsid w:val="00C2362A"/>
    <w:rsid w:val="00C23E0D"/>
    <w:rsid w:val="00C23FCB"/>
    <w:rsid w:val="00C241F7"/>
    <w:rsid w:val="00C24AB3"/>
    <w:rsid w:val="00C24D94"/>
    <w:rsid w:val="00C25806"/>
    <w:rsid w:val="00C262BC"/>
    <w:rsid w:val="00C275EE"/>
    <w:rsid w:val="00C2779A"/>
    <w:rsid w:val="00C27846"/>
    <w:rsid w:val="00C27B3E"/>
    <w:rsid w:val="00C27C53"/>
    <w:rsid w:val="00C27FEC"/>
    <w:rsid w:val="00C30AFF"/>
    <w:rsid w:val="00C30B02"/>
    <w:rsid w:val="00C31E3E"/>
    <w:rsid w:val="00C327E8"/>
    <w:rsid w:val="00C3280B"/>
    <w:rsid w:val="00C3302A"/>
    <w:rsid w:val="00C33140"/>
    <w:rsid w:val="00C33504"/>
    <w:rsid w:val="00C35304"/>
    <w:rsid w:val="00C3531E"/>
    <w:rsid w:val="00C35855"/>
    <w:rsid w:val="00C35F84"/>
    <w:rsid w:val="00C37332"/>
    <w:rsid w:val="00C37AF1"/>
    <w:rsid w:val="00C404E0"/>
    <w:rsid w:val="00C40809"/>
    <w:rsid w:val="00C40819"/>
    <w:rsid w:val="00C40975"/>
    <w:rsid w:val="00C41084"/>
    <w:rsid w:val="00C4215C"/>
    <w:rsid w:val="00C427AC"/>
    <w:rsid w:val="00C43AAE"/>
    <w:rsid w:val="00C4430F"/>
    <w:rsid w:val="00C44511"/>
    <w:rsid w:val="00C447D7"/>
    <w:rsid w:val="00C447DE"/>
    <w:rsid w:val="00C44DF7"/>
    <w:rsid w:val="00C45716"/>
    <w:rsid w:val="00C47491"/>
    <w:rsid w:val="00C4763F"/>
    <w:rsid w:val="00C479AD"/>
    <w:rsid w:val="00C47C85"/>
    <w:rsid w:val="00C47D66"/>
    <w:rsid w:val="00C47E66"/>
    <w:rsid w:val="00C50635"/>
    <w:rsid w:val="00C50FF8"/>
    <w:rsid w:val="00C52499"/>
    <w:rsid w:val="00C53D36"/>
    <w:rsid w:val="00C53E31"/>
    <w:rsid w:val="00C540C1"/>
    <w:rsid w:val="00C54B9E"/>
    <w:rsid w:val="00C54F15"/>
    <w:rsid w:val="00C55EBB"/>
    <w:rsid w:val="00C567E2"/>
    <w:rsid w:val="00C56C2D"/>
    <w:rsid w:val="00C57A09"/>
    <w:rsid w:val="00C60941"/>
    <w:rsid w:val="00C61BED"/>
    <w:rsid w:val="00C627A3"/>
    <w:rsid w:val="00C6313A"/>
    <w:rsid w:val="00C63220"/>
    <w:rsid w:val="00C632B6"/>
    <w:rsid w:val="00C632D5"/>
    <w:rsid w:val="00C633CA"/>
    <w:rsid w:val="00C63CCE"/>
    <w:rsid w:val="00C64A89"/>
    <w:rsid w:val="00C64FCF"/>
    <w:rsid w:val="00C66E8E"/>
    <w:rsid w:val="00C67EB9"/>
    <w:rsid w:val="00C67EDC"/>
    <w:rsid w:val="00C708CD"/>
    <w:rsid w:val="00C73596"/>
    <w:rsid w:val="00C7445D"/>
    <w:rsid w:val="00C74823"/>
    <w:rsid w:val="00C75245"/>
    <w:rsid w:val="00C7594C"/>
    <w:rsid w:val="00C75B69"/>
    <w:rsid w:val="00C77977"/>
    <w:rsid w:val="00C77D0E"/>
    <w:rsid w:val="00C801DA"/>
    <w:rsid w:val="00C808FB"/>
    <w:rsid w:val="00C8100B"/>
    <w:rsid w:val="00C81484"/>
    <w:rsid w:val="00C816A2"/>
    <w:rsid w:val="00C823C4"/>
    <w:rsid w:val="00C834CD"/>
    <w:rsid w:val="00C83749"/>
    <w:rsid w:val="00C83960"/>
    <w:rsid w:val="00C83F07"/>
    <w:rsid w:val="00C84178"/>
    <w:rsid w:val="00C84EDC"/>
    <w:rsid w:val="00C850A6"/>
    <w:rsid w:val="00C85342"/>
    <w:rsid w:val="00C86359"/>
    <w:rsid w:val="00C869CA"/>
    <w:rsid w:val="00C873D7"/>
    <w:rsid w:val="00C87A96"/>
    <w:rsid w:val="00C87C83"/>
    <w:rsid w:val="00C90188"/>
    <w:rsid w:val="00C901E6"/>
    <w:rsid w:val="00C90580"/>
    <w:rsid w:val="00C90B9B"/>
    <w:rsid w:val="00C91484"/>
    <w:rsid w:val="00C91534"/>
    <w:rsid w:val="00C9258E"/>
    <w:rsid w:val="00C928D6"/>
    <w:rsid w:val="00C93EA6"/>
    <w:rsid w:val="00C9413E"/>
    <w:rsid w:val="00C949B2"/>
    <w:rsid w:val="00C94C77"/>
    <w:rsid w:val="00C96AC5"/>
    <w:rsid w:val="00C97B08"/>
    <w:rsid w:val="00C97B5A"/>
    <w:rsid w:val="00CA0AA5"/>
    <w:rsid w:val="00CA0FF1"/>
    <w:rsid w:val="00CA169A"/>
    <w:rsid w:val="00CA2287"/>
    <w:rsid w:val="00CA289D"/>
    <w:rsid w:val="00CA3290"/>
    <w:rsid w:val="00CA3D2B"/>
    <w:rsid w:val="00CA3E66"/>
    <w:rsid w:val="00CA3FC6"/>
    <w:rsid w:val="00CA4AB0"/>
    <w:rsid w:val="00CA4B0D"/>
    <w:rsid w:val="00CA521A"/>
    <w:rsid w:val="00CA576B"/>
    <w:rsid w:val="00CA5FCA"/>
    <w:rsid w:val="00CA60C0"/>
    <w:rsid w:val="00CA7147"/>
    <w:rsid w:val="00CB0183"/>
    <w:rsid w:val="00CB05DE"/>
    <w:rsid w:val="00CB0FEE"/>
    <w:rsid w:val="00CB22E9"/>
    <w:rsid w:val="00CB48D5"/>
    <w:rsid w:val="00CB6221"/>
    <w:rsid w:val="00CB62AA"/>
    <w:rsid w:val="00CB66F3"/>
    <w:rsid w:val="00CB6EBB"/>
    <w:rsid w:val="00CB7A3B"/>
    <w:rsid w:val="00CB7CCE"/>
    <w:rsid w:val="00CC0583"/>
    <w:rsid w:val="00CC0812"/>
    <w:rsid w:val="00CC165C"/>
    <w:rsid w:val="00CC27A9"/>
    <w:rsid w:val="00CC2949"/>
    <w:rsid w:val="00CC32B0"/>
    <w:rsid w:val="00CC37D3"/>
    <w:rsid w:val="00CC3A49"/>
    <w:rsid w:val="00CC3F7A"/>
    <w:rsid w:val="00CC4D57"/>
    <w:rsid w:val="00CC4EA0"/>
    <w:rsid w:val="00CC52FA"/>
    <w:rsid w:val="00CC7EE6"/>
    <w:rsid w:val="00CD0486"/>
    <w:rsid w:val="00CD0C72"/>
    <w:rsid w:val="00CD187C"/>
    <w:rsid w:val="00CD24F4"/>
    <w:rsid w:val="00CD2838"/>
    <w:rsid w:val="00CD3175"/>
    <w:rsid w:val="00CD3B84"/>
    <w:rsid w:val="00CD3BE8"/>
    <w:rsid w:val="00CD46F3"/>
    <w:rsid w:val="00CD4B46"/>
    <w:rsid w:val="00CD552E"/>
    <w:rsid w:val="00CD5C4A"/>
    <w:rsid w:val="00CD6045"/>
    <w:rsid w:val="00CD653D"/>
    <w:rsid w:val="00CE0906"/>
    <w:rsid w:val="00CE0D5F"/>
    <w:rsid w:val="00CE1A7E"/>
    <w:rsid w:val="00CE211B"/>
    <w:rsid w:val="00CE2371"/>
    <w:rsid w:val="00CE2BE3"/>
    <w:rsid w:val="00CE34FB"/>
    <w:rsid w:val="00CE4E44"/>
    <w:rsid w:val="00CE586A"/>
    <w:rsid w:val="00CE5BF1"/>
    <w:rsid w:val="00CE6F30"/>
    <w:rsid w:val="00CE6FE7"/>
    <w:rsid w:val="00CE74BD"/>
    <w:rsid w:val="00CE7AF0"/>
    <w:rsid w:val="00CE7E41"/>
    <w:rsid w:val="00CF0F62"/>
    <w:rsid w:val="00CF19AC"/>
    <w:rsid w:val="00CF1B4C"/>
    <w:rsid w:val="00CF1D94"/>
    <w:rsid w:val="00CF2658"/>
    <w:rsid w:val="00CF40CA"/>
    <w:rsid w:val="00CF4784"/>
    <w:rsid w:val="00CF555A"/>
    <w:rsid w:val="00CF72D0"/>
    <w:rsid w:val="00D00B4A"/>
    <w:rsid w:val="00D01212"/>
    <w:rsid w:val="00D01AAC"/>
    <w:rsid w:val="00D01E90"/>
    <w:rsid w:val="00D021E5"/>
    <w:rsid w:val="00D035AA"/>
    <w:rsid w:val="00D03680"/>
    <w:rsid w:val="00D04B6A"/>
    <w:rsid w:val="00D051CD"/>
    <w:rsid w:val="00D0561E"/>
    <w:rsid w:val="00D0584C"/>
    <w:rsid w:val="00D05908"/>
    <w:rsid w:val="00D05D6A"/>
    <w:rsid w:val="00D06552"/>
    <w:rsid w:val="00D07DEA"/>
    <w:rsid w:val="00D07F9D"/>
    <w:rsid w:val="00D101A6"/>
    <w:rsid w:val="00D11E81"/>
    <w:rsid w:val="00D12E7C"/>
    <w:rsid w:val="00D13E31"/>
    <w:rsid w:val="00D14253"/>
    <w:rsid w:val="00D147C7"/>
    <w:rsid w:val="00D14914"/>
    <w:rsid w:val="00D14CBA"/>
    <w:rsid w:val="00D14F9B"/>
    <w:rsid w:val="00D1799A"/>
    <w:rsid w:val="00D17BBB"/>
    <w:rsid w:val="00D17D9E"/>
    <w:rsid w:val="00D203B0"/>
    <w:rsid w:val="00D20799"/>
    <w:rsid w:val="00D20FED"/>
    <w:rsid w:val="00D2199C"/>
    <w:rsid w:val="00D23524"/>
    <w:rsid w:val="00D23AF5"/>
    <w:rsid w:val="00D2420A"/>
    <w:rsid w:val="00D24625"/>
    <w:rsid w:val="00D24C82"/>
    <w:rsid w:val="00D24F02"/>
    <w:rsid w:val="00D25246"/>
    <w:rsid w:val="00D264C0"/>
    <w:rsid w:val="00D26A61"/>
    <w:rsid w:val="00D26B21"/>
    <w:rsid w:val="00D2724E"/>
    <w:rsid w:val="00D27903"/>
    <w:rsid w:val="00D2792C"/>
    <w:rsid w:val="00D27E3B"/>
    <w:rsid w:val="00D30D45"/>
    <w:rsid w:val="00D31266"/>
    <w:rsid w:val="00D312D4"/>
    <w:rsid w:val="00D3176B"/>
    <w:rsid w:val="00D31ACE"/>
    <w:rsid w:val="00D31CD5"/>
    <w:rsid w:val="00D3242C"/>
    <w:rsid w:val="00D32E5D"/>
    <w:rsid w:val="00D33C35"/>
    <w:rsid w:val="00D33DC5"/>
    <w:rsid w:val="00D34A7F"/>
    <w:rsid w:val="00D34AF4"/>
    <w:rsid w:val="00D3539F"/>
    <w:rsid w:val="00D37951"/>
    <w:rsid w:val="00D41CDF"/>
    <w:rsid w:val="00D421BD"/>
    <w:rsid w:val="00D424EA"/>
    <w:rsid w:val="00D42537"/>
    <w:rsid w:val="00D42920"/>
    <w:rsid w:val="00D43264"/>
    <w:rsid w:val="00D435FB"/>
    <w:rsid w:val="00D43FA1"/>
    <w:rsid w:val="00D44B73"/>
    <w:rsid w:val="00D46491"/>
    <w:rsid w:val="00D46625"/>
    <w:rsid w:val="00D46DE8"/>
    <w:rsid w:val="00D47118"/>
    <w:rsid w:val="00D47356"/>
    <w:rsid w:val="00D47437"/>
    <w:rsid w:val="00D47614"/>
    <w:rsid w:val="00D47CF2"/>
    <w:rsid w:val="00D47EAD"/>
    <w:rsid w:val="00D501DA"/>
    <w:rsid w:val="00D50CE0"/>
    <w:rsid w:val="00D5181F"/>
    <w:rsid w:val="00D52CFE"/>
    <w:rsid w:val="00D5369C"/>
    <w:rsid w:val="00D546F2"/>
    <w:rsid w:val="00D54860"/>
    <w:rsid w:val="00D54D6E"/>
    <w:rsid w:val="00D55340"/>
    <w:rsid w:val="00D55E13"/>
    <w:rsid w:val="00D568C9"/>
    <w:rsid w:val="00D60658"/>
    <w:rsid w:val="00D608E0"/>
    <w:rsid w:val="00D611CD"/>
    <w:rsid w:val="00D6163D"/>
    <w:rsid w:val="00D61C2C"/>
    <w:rsid w:val="00D621B6"/>
    <w:rsid w:val="00D626BB"/>
    <w:rsid w:val="00D63B6F"/>
    <w:rsid w:val="00D63EA2"/>
    <w:rsid w:val="00D63F4D"/>
    <w:rsid w:val="00D65636"/>
    <w:rsid w:val="00D658BE"/>
    <w:rsid w:val="00D660F8"/>
    <w:rsid w:val="00D66743"/>
    <w:rsid w:val="00D66A29"/>
    <w:rsid w:val="00D67687"/>
    <w:rsid w:val="00D676F6"/>
    <w:rsid w:val="00D677D5"/>
    <w:rsid w:val="00D7061B"/>
    <w:rsid w:val="00D7066D"/>
    <w:rsid w:val="00D7164E"/>
    <w:rsid w:val="00D72404"/>
    <w:rsid w:val="00D734FA"/>
    <w:rsid w:val="00D75A77"/>
    <w:rsid w:val="00D75EF9"/>
    <w:rsid w:val="00D75F41"/>
    <w:rsid w:val="00D75FF0"/>
    <w:rsid w:val="00D760B9"/>
    <w:rsid w:val="00D762C7"/>
    <w:rsid w:val="00D76666"/>
    <w:rsid w:val="00D76D43"/>
    <w:rsid w:val="00D77480"/>
    <w:rsid w:val="00D77B09"/>
    <w:rsid w:val="00D80E86"/>
    <w:rsid w:val="00D80E87"/>
    <w:rsid w:val="00D81469"/>
    <w:rsid w:val="00D8151B"/>
    <w:rsid w:val="00D8286E"/>
    <w:rsid w:val="00D85893"/>
    <w:rsid w:val="00D85BBD"/>
    <w:rsid w:val="00D860C6"/>
    <w:rsid w:val="00D8798B"/>
    <w:rsid w:val="00D87A57"/>
    <w:rsid w:val="00D87EA0"/>
    <w:rsid w:val="00D909D3"/>
    <w:rsid w:val="00D911CE"/>
    <w:rsid w:val="00D919A0"/>
    <w:rsid w:val="00D921EA"/>
    <w:rsid w:val="00D92D9C"/>
    <w:rsid w:val="00D933C1"/>
    <w:rsid w:val="00D9461F"/>
    <w:rsid w:val="00D94AD8"/>
    <w:rsid w:val="00D950B8"/>
    <w:rsid w:val="00D9652D"/>
    <w:rsid w:val="00D9653C"/>
    <w:rsid w:val="00D96887"/>
    <w:rsid w:val="00D96EB6"/>
    <w:rsid w:val="00D9713E"/>
    <w:rsid w:val="00D97452"/>
    <w:rsid w:val="00D97F46"/>
    <w:rsid w:val="00DA02F5"/>
    <w:rsid w:val="00DA05B5"/>
    <w:rsid w:val="00DA0BA1"/>
    <w:rsid w:val="00DA0D2F"/>
    <w:rsid w:val="00DA10F3"/>
    <w:rsid w:val="00DA14FA"/>
    <w:rsid w:val="00DA2110"/>
    <w:rsid w:val="00DA2303"/>
    <w:rsid w:val="00DA246D"/>
    <w:rsid w:val="00DA2683"/>
    <w:rsid w:val="00DA2905"/>
    <w:rsid w:val="00DA2D7C"/>
    <w:rsid w:val="00DA3074"/>
    <w:rsid w:val="00DA3BA4"/>
    <w:rsid w:val="00DA4668"/>
    <w:rsid w:val="00DA4A9B"/>
    <w:rsid w:val="00DA594F"/>
    <w:rsid w:val="00DA5AEA"/>
    <w:rsid w:val="00DA5B86"/>
    <w:rsid w:val="00DA5D8F"/>
    <w:rsid w:val="00DA5E80"/>
    <w:rsid w:val="00DA6522"/>
    <w:rsid w:val="00DA6BD9"/>
    <w:rsid w:val="00DA6FB6"/>
    <w:rsid w:val="00DB0F7A"/>
    <w:rsid w:val="00DB136E"/>
    <w:rsid w:val="00DB18A7"/>
    <w:rsid w:val="00DB1CBC"/>
    <w:rsid w:val="00DB3BF7"/>
    <w:rsid w:val="00DB3C2A"/>
    <w:rsid w:val="00DB44C3"/>
    <w:rsid w:val="00DB57DF"/>
    <w:rsid w:val="00DB644A"/>
    <w:rsid w:val="00DB66E2"/>
    <w:rsid w:val="00DB6DF0"/>
    <w:rsid w:val="00DB6FF4"/>
    <w:rsid w:val="00DB6FF5"/>
    <w:rsid w:val="00DB7842"/>
    <w:rsid w:val="00DC0850"/>
    <w:rsid w:val="00DC0855"/>
    <w:rsid w:val="00DC0CF7"/>
    <w:rsid w:val="00DC113C"/>
    <w:rsid w:val="00DC19B7"/>
    <w:rsid w:val="00DC1B2E"/>
    <w:rsid w:val="00DC1D0C"/>
    <w:rsid w:val="00DC3690"/>
    <w:rsid w:val="00DC372C"/>
    <w:rsid w:val="00DC46AE"/>
    <w:rsid w:val="00DC4821"/>
    <w:rsid w:val="00DC491A"/>
    <w:rsid w:val="00DC5DF9"/>
    <w:rsid w:val="00DC5E6D"/>
    <w:rsid w:val="00DC6D9F"/>
    <w:rsid w:val="00DC7CEB"/>
    <w:rsid w:val="00DD1168"/>
    <w:rsid w:val="00DD1886"/>
    <w:rsid w:val="00DD1D88"/>
    <w:rsid w:val="00DD2694"/>
    <w:rsid w:val="00DD3FC7"/>
    <w:rsid w:val="00DD4411"/>
    <w:rsid w:val="00DD53C4"/>
    <w:rsid w:val="00DD7225"/>
    <w:rsid w:val="00DD7C1E"/>
    <w:rsid w:val="00DE0952"/>
    <w:rsid w:val="00DE0AE6"/>
    <w:rsid w:val="00DE0B3F"/>
    <w:rsid w:val="00DE10D6"/>
    <w:rsid w:val="00DE2009"/>
    <w:rsid w:val="00DE2235"/>
    <w:rsid w:val="00DE299D"/>
    <w:rsid w:val="00DE2F6A"/>
    <w:rsid w:val="00DE45A0"/>
    <w:rsid w:val="00DE528F"/>
    <w:rsid w:val="00DE542B"/>
    <w:rsid w:val="00DE568F"/>
    <w:rsid w:val="00DE58BC"/>
    <w:rsid w:val="00DE5B0B"/>
    <w:rsid w:val="00DE61B9"/>
    <w:rsid w:val="00DE6B48"/>
    <w:rsid w:val="00DE6CD0"/>
    <w:rsid w:val="00DE716B"/>
    <w:rsid w:val="00DE764D"/>
    <w:rsid w:val="00DE76E3"/>
    <w:rsid w:val="00DE7C62"/>
    <w:rsid w:val="00DF17FC"/>
    <w:rsid w:val="00DF1AD4"/>
    <w:rsid w:val="00DF26B2"/>
    <w:rsid w:val="00DF2721"/>
    <w:rsid w:val="00DF28F3"/>
    <w:rsid w:val="00DF3CDA"/>
    <w:rsid w:val="00DF44FE"/>
    <w:rsid w:val="00DF454A"/>
    <w:rsid w:val="00DF4855"/>
    <w:rsid w:val="00DF48B3"/>
    <w:rsid w:val="00DF52CC"/>
    <w:rsid w:val="00DF5C9E"/>
    <w:rsid w:val="00DF6021"/>
    <w:rsid w:val="00DF616E"/>
    <w:rsid w:val="00DF63CA"/>
    <w:rsid w:val="00DF7010"/>
    <w:rsid w:val="00DF713E"/>
    <w:rsid w:val="00DF7870"/>
    <w:rsid w:val="00DF7E7C"/>
    <w:rsid w:val="00E004C7"/>
    <w:rsid w:val="00E004D5"/>
    <w:rsid w:val="00E012FF"/>
    <w:rsid w:val="00E017F2"/>
    <w:rsid w:val="00E0206F"/>
    <w:rsid w:val="00E023E9"/>
    <w:rsid w:val="00E02633"/>
    <w:rsid w:val="00E03DD9"/>
    <w:rsid w:val="00E041F9"/>
    <w:rsid w:val="00E04BC6"/>
    <w:rsid w:val="00E04D27"/>
    <w:rsid w:val="00E04EEF"/>
    <w:rsid w:val="00E055FD"/>
    <w:rsid w:val="00E05B17"/>
    <w:rsid w:val="00E05D38"/>
    <w:rsid w:val="00E0603C"/>
    <w:rsid w:val="00E0765E"/>
    <w:rsid w:val="00E07C9F"/>
    <w:rsid w:val="00E10A96"/>
    <w:rsid w:val="00E10E67"/>
    <w:rsid w:val="00E10FBF"/>
    <w:rsid w:val="00E117B5"/>
    <w:rsid w:val="00E11969"/>
    <w:rsid w:val="00E119B9"/>
    <w:rsid w:val="00E11CF5"/>
    <w:rsid w:val="00E124B6"/>
    <w:rsid w:val="00E13ABA"/>
    <w:rsid w:val="00E13BA9"/>
    <w:rsid w:val="00E13F30"/>
    <w:rsid w:val="00E14731"/>
    <w:rsid w:val="00E14969"/>
    <w:rsid w:val="00E14FA1"/>
    <w:rsid w:val="00E16491"/>
    <w:rsid w:val="00E168EA"/>
    <w:rsid w:val="00E2081D"/>
    <w:rsid w:val="00E21894"/>
    <w:rsid w:val="00E220E6"/>
    <w:rsid w:val="00E23126"/>
    <w:rsid w:val="00E24231"/>
    <w:rsid w:val="00E2448E"/>
    <w:rsid w:val="00E24E12"/>
    <w:rsid w:val="00E254D9"/>
    <w:rsid w:val="00E256F8"/>
    <w:rsid w:val="00E260E0"/>
    <w:rsid w:val="00E262F4"/>
    <w:rsid w:val="00E26A31"/>
    <w:rsid w:val="00E270B8"/>
    <w:rsid w:val="00E273B4"/>
    <w:rsid w:val="00E279CC"/>
    <w:rsid w:val="00E27A71"/>
    <w:rsid w:val="00E30A45"/>
    <w:rsid w:val="00E31EFC"/>
    <w:rsid w:val="00E32BE7"/>
    <w:rsid w:val="00E32EEB"/>
    <w:rsid w:val="00E330A0"/>
    <w:rsid w:val="00E3310F"/>
    <w:rsid w:val="00E337AB"/>
    <w:rsid w:val="00E339CC"/>
    <w:rsid w:val="00E33C33"/>
    <w:rsid w:val="00E34D5F"/>
    <w:rsid w:val="00E34E23"/>
    <w:rsid w:val="00E34EA9"/>
    <w:rsid w:val="00E3529D"/>
    <w:rsid w:val="00E3541E"/>
    <w:rsid w:val="00E35CFD"/>
    <w:rsid w:val="00E36E1C"/>
    <w:rsid w:val="00E3756A"/>
    <w:rsid w:val="00E37A15"/>
    <w:rsid w:val="00E37C44"/>
    <w:rsid w:val="00E37C5C"/>
    <w:rsid w:val="00E37DFD"/>
    <w:rsid w:val="00E37F13"/>
    <w:rsid w:val="00E40505"/>
    <w:rsid w:val="00E4199C"/>
    <w:rsid w:val="00E4224C"/>
    <w:rsid w:val="00E42343"/>
    <w:rsid w:val="00E42632"/>
    <w:rsid w:val="00E429D9"/>
    <w:rsid w:val="00E434E3"/>
    <w:rsid w:val="00E43712"/>
    <w:rsid w:val="00E46651"/>
    <w:rsid w:val="00E4672C"/>
    <w:rsid w:val="00E46BD7"/>
    <w:rsid w:val="00E46E22"/>
    <w:rsid w:val="00E47611"/>
    <w:rsid w:val="00E47D49"/>
    <w:rsid w:val="00E5073E"/>
    <w:rsid w:val="00E50F4F"/>
    <w:rsid w:val="00E51047"/>
    <w:rsid w:val="00E511E8"/>
    <w:rsid w:val="00E51375"/>
    <w:rsid w:val="00E51417"/>
    <w:rsid w:val="00E519E4"/>
    <w:rsid w:val="00E51CB7"/>
    <w:rsid w:val="00E5227D"/>
    <w:rsid w:val="00E526A3"/>
    <w:rsid w:val="00E52AEE"/>
    <w:rsid w:val="00E52B95"/>
    <w:rsid w:val="00E52E3C"/>
    <w:rsid w:val="00E53484"/>
    <w:rsid w:val="00E53BD0"/>
    <w:rsid w:val="00E53CBF"/>
    <w:rsid w:val="00E54F2F"/>
    <w:rsid w:val="00E55514"/>
    <w:rsid w:val="00E55865"/>
    <w:rsid w:val="00E55A96"/>
    <w:rsid w:val="00E55B9B"/>
    <w:rsid w:val="00E55BC8"/>
    <w:rsid w:val="00E55C59"/>
    <w:rsid w:val="00E56C60"/>
    <w:rsid w:val="00E56F9F"/>
    <w:rsid w:val="00E577C8"/>
    <w:rsid w:val="00E57BBE"/>
    <w:rsid w:val="00E57BCF"/>
    <w:rsid w:val="00E6005B"/>
    <w:rsid w:val="00E61653"/>
    <w:rsid w:val="00E623DE"/>
    <w:rsid w:val="00E63064"/>
    <w:rsid w:val="00E64A15"/>
    <w:rsid w:val="00E64A40"/>
    <w:rsid w:val="00E64CEF"/>
    <w:rsid w:val="00E64EF4"/>
    <w:rsid w:val="00E65146"/>
    <w:rsid w:val="00E6555D"/>
    <w:rsid w:val="00E65CA5"/>
    <w:rsid w:val="00E66131"/>
    <w:rsid w:val="00E66B49"/>
    <w:rsid w:val="00E7012F"/>
    <w:rsid w:val="00E71F68"/>
    <w:rsid w:val="00E72E39"/>
    <w:rsid w:val="00E72F96"/>
    <w:rsid w:val="00E739C7"/>
    <w:rsid w:val="00E73EB4"/>
    <w:rsid w:val="00E73F04"/>
    <w:rsid w:val="00E755AF"/>
    <w:rsid w:val="00E7605B"/>
    <w:rsid w:val="00E763E9"/>
    <w:rsid w:val="00E769A1"/>
    <w:rsid w:val="00E76BCD"/>
    <w:rsid w:val="00E76E08"/>
    <w:rsid w:val="00E77521"/>
    <w:rsid w:val="00E802B0"/>
    <w:rsid w:val="00E8041C"/>
    <w:rsid w:val="00E80502"/>
    <w:rsid w:val="00E80C66"/>
    <w:rsid w:val="00E81958"/>
    <w:rsid w:val="00E8236D"/>
    <w:rsid w:val="00E8238D"/>
    <w:rsid w:val="00E82424"/>
    <w:rsid w:val="00E82CF8"/>
    <w:rsid w:val="00E83424"/>
    <w:rsid w:val="00E836D6"/>
    <w:rsid w:val="00E8391E"/>
    <w:rsid w:val="00E83B08"/>
    <w:rsid w:val="00E847DF"/>
    <w:rsid w:val="00E84C78"/>
    <w:rsid w:val="00E87F4A"/>
    <w:rsid w:val="00E9021F"/>
    <w:rsid w:val="00E9290E"/>
    <w:rsid w:val="00E9307C"/>
    <w:rsid w:val="00E932E0"/>
    <w:rsid w:val="00E9445F"/>
    <w:rsid w:val="00E94CBF"/>
    <w:rsid w:val="00E96624"/>
    <w:rsid w:val="00E96970"/>
    <w:rsid w:val="00E96B8C"/>
    <w:rsid w:val="00E976AF"/>
    <w:rsid w:val="00E97AC8"/>
    <w:rsid w:val="00EA0B22"/>
    <w:rsid w:val="00EA0D1F"/>
    <w:rsid w:val="00EA14A1"/>
    <w:rsid w:val="00EA1D59"/>
    <w:rsid w:val="00EA1FF5"/>
    <w:rsid w:val="00EA2321"/>
    <w:rsid w:val="00EA263D"/>
    <w:rsid w:val="00EA2CB2"/>
    <w:rsid w:val="00EA3077"/>
    <w:rsid w:val="00EA3A8D"/>
    <w:rsid w:val="00EA468F"/>
    <w:rsid w:val="00EA46EC"/>
    <w:rsid w:val="00EA4ACC"/>
    <w:rsid w:val="00EA5BBB"/>
    <w:rsid w:val="00EA7E1F"/>
    <w:rsid w:val="00EA7E8A"/>
    <w:rsid w:val="00EA7EB6"/>
    <w:rsid w:val="00EB03CF"/>
    <w:rsid w:val="00EB05F8"/>
    <w:rsid w:val="00EB1332"/>
    <w:rsid w:val="00EB15B6"/>
    <w:rsid w:val="00EB1742"/>
    <w:rsid w:val="00EB1BAA"/>
    <w:rsid w:val="00EB2F94"/>
    <w:rsid w:val="00EB2F96"/>
    <w:rsid w:val="00EB3108"/>
    <w:rsid w:val="00EB4C34"/>
    <w:rsid w:val="00EB5D9D"/>
    <w:rsid w:val="00EB6AF4"/>
    <w:rsid w:val="00EB75AC"/>
    <w:rsid w:val="00EB7A58"/>
    <w:rsid w:val="00EC058D"/>
    <w:rsid w:val="00EC070A"/>
    <w:rsid w:val="00EC0855"/>
    <w:rsid w:val="00EC16E0"/>
    <w:rsid w:val="00EC1BDF"/>
    <w:rsid w:val="00EC2060"/>
    <w:rsid w:val="00EC23EE"/>
    <w:rsid w:val="00EC28B2"/>
    <w:rsid w:val="00EC3135"/>
    <w:rsid w:val="00EC3BE0"/>
    <w:rsid w:val="00EC40D9"/>
    <w:rsid w:val="00EC533B"/>
    <w:rsid w:val="00EC566A"/>
    <w:rsid w:val="00EC5861"/>
    <w:rsid w:val="00EC62CE"/>
    <w:rsid w:val="00EC6A0A"/>
    <w:rsid w:val="00EC75EB"/>
    <w:rsid w:val="00EC7721"/>
    <w:rsid w:val="00EC77F2"/>
    <w:rsid w:val="00EC78B9"/>
    <w:rsid w:val="00EC7A5F"/>
    <w:rsid w:val="00EC7CCC"/>
    <w:rsid w:val="00EC7D8C"/>
    <w:rsid w:val="00ED0078"/>
    <w:rsid w:val="00ED0493"/>
    <w:rsid w:val="00ED0CC8"/>
    <w:rsid w:val="00ED10C3"/>
    <w:rsid w:val="00ED10E0"/>
    <w:rsid w:val="00ED2D49"/>
    <w:rsid w:val="00ED2F48"/>
    <w:rsid w:val="00ED3D39"/>
    <w:rsid w:val="00ED4781"/>
    <w:rsid w:val="00ED4D9A"/>
    <w:rsid w:val="00ED53BF"/>
    <w:rsid w:val="00ED65E2"/>
    <w:rsid w:val="00ED736E"/>
    <w:rsid w:val="00ED7A5C"/>
    <w:rsid w:val="00ED7C2A"/>
    <w:rsid w:val="00ED7DE1"/>
    <w:rsid w:val="00EE0A59"/>
    <w:rsid w:val="00EE1ADF"/>
    <w:rsid w:val="00EE2236"/>
    <w:rsid w:val="00EE318E"/>
    <w:rsid w:val="00EE394D"/>
    <w:rsid w:val="00EE41ED"/>
    <w:rsid w:val="00EE4347"/>
    <w:rsid w:val="00EE441A"/>
    <w:rsid w:val="00EE6466"/>
    <w:rsid w:val="00EE78B0"/>
    <w:rsid w:val="00EE79DC"/>
    <w:rsid w:val="00EE7A3A"/>
    <w:rsid w:val="00EF006C"/>
    <w:rsid w:val="00EF05F2"/>
    <w:rsid w:val="00EF098A"/>
    <w:rsid w:val="00EF0A5A"/>
    <w:rsid w:val="00EF1398"/>
    <w:rsid w:val="00EF1F19"/>
    <w:rsid w:val="00EF2550"/>
    <w:rsid w:val="00EF2FAE"/>
    <w:rsid w:val="00EF33DF"/>
    <w:rsid w:val="00EF42FA"/>
    <w:rsid w:val="00EF4E32"/>
    <w:rsid w:val="00EF6B83"/>
    <w:rsid w:val="00EF7A25"/>
    <w:rsid w:val="00EF7B64"/>
    <w:rsid w:val="00EF7DF5"/>
    <w:rsid w:val="00F006CC"/>
    <w:rsid w:val="00F00D7E"/>
    <w:rsid w:val="00F01386"/>
    <w:rsid w:val="00F01487"/>
    <w:rsid w:val="00F0238F"/>
    <w:rsid w:val="00F02B8A"/>
    <w:rsid w:val="00F02CA6"/>
    <w:rsid w:val="00F02D49"/>
    <w:rsid w:val="00F04968"/>
    <w:rsid w:val="00F04A18"/>
    <w:rsid w:val="00F04BAE"/>
    <w:rsid w:val="00F05443"/>
    <w:rsid w:val="00F05648"/>
    <w:rsid w:val="00F05E2C"/>
    <w:rsid w:val="00F065A3"/>
    <w:rsid w:val="00F06DF6"/>
    <w:rsid w:val="00F0778C"/>
    <w:rsid w:val="00F10090"/>
    <w:rsid w:val="00F106BB"/>
    <w:rsid w:val="00F10753"/>
    <w:rsid w:val="00F120F2"/>
    <w:rsid w:val="00F12C87"/>
    <w:rsid w:val="00F12FE7"/>
    <w:rsid w:val="00F131B1"/>
    <w:rsid w:val="00F1378E"/>
    <w:rsid w:val="00F14747"/>
    <w:rsid w:val="00F149EC"/>
    <w:rsid w:val="00F15952"/>
    <w:rsid w:val="00F15D27"/>
    <w:rsid w:val="00F15F01"/>
    <w:rsid w:val="00F16715"/>
    <w:rsid w:val="00F168CF"/>
    <w:rsid w:val="00F17AE9"/>
    <w:rsid w:val="00F20957"/>
    <w:rsid w:val="00F2160A"/>
    <w:rsid w:val="00F21B57"/>
    <w:rsid w:val="00F22D9D"/>
    <w:rsid w:val="00F22DD3"/>
    <w:rsid w:val="00F22E83"/>
    <w:rsid w:val="00F22FDF"/>
    <w:rsid w:val="00F2352F"/>
    <w:rsid w:val="00F23968"/>
    <w:rsid w:val="00F24208"/>
    <w:rsid w:val="00F246E1"/>
    <w:rsid w:val="00F248EB"/>
    <w:rsid w:val="00F24923"/>
    <w:rsid w:val="00F24D73"/>
    <w:rsid w:val="00F258CB"/>
    <w:rsid w:val="00F273BD"/>
    <w:rsid w:val="00F30297"/>
    <w:rsid w:val="00F30384"/>
    <w:rsid w:val="00F30D41"/>
    <w:rsid w:val="00F30EE6"/>
    <w:rsid w:val="00F310C8"/>
    <w:rsid w:val="00F31A31"/>
    <w:rsid w:val="00F31B34"/>
    <w:rsid w:val="00F31BE4"/>
    <w:rsid w:val="00F31EFE"/>
    <w:rsid w:val="00F32629"/>
    <w:rsid w:val="00F34C0D"/>
    <w:rsid w:val="00F36A85"/>
    <w:rsid w:val="00F36C5E"/>
    <w:rsid w:val="00F373C8"/>
    <w:rsid w:val="00F37CFD"/>
    <w:rsid w:val="00F37D0A"/>
    <w:rsid w:val="00F40C91"/>
    <w:rsid w:val="00F4268E"/>
    <w:rsid w:val="00F433B8"/>
    <w:rsid w:val="00F435AA"/>
    <w:rsid w:val="00F43A2E"/>
    <w:rsid w:val="00F44A3D"/>
    <w:rsid w:val="00F44BC9"/>
    <w:rsid w:val="00F44D7B"/>
    <w:rsid w:val="00F44F2A"/>
    <w:rsid w:val="00F45237"/>
    <w:rsid w:val="00F4595B"/>
    <w:rsid w:val="00F45B68"/>
    <w:rsid w:val="00F460A0"/>
    <w:rsid w:val="00F46CE6"/>
    <w:rsid w:val="00F46EDB"/>
    <w:rsid w:val="00F47D9F"/>
    <w:rsid w:val="00F5099A"/>
    <w:rsid w:val="00F50FA9"/>
    <w:rsid w:val="00F5128B"/>
    <w:rsid w:val="00F51BA2"/>
    <w:rsid w:val="00F51C20"/>
    <w:rsid w:val="00F51CF8"/>
    <w:rsid w:val="00F529C4"/>
    <w:rsid w:val="00F52BE4"/>
    <w:rsid w:val="00F548F0"/>
    <w:rsid w:val="00F55785"/>
    <w:rsid w:val="00F55A24"/>
    <w:rsid w:val="00F604C9"/>
    <w:rsid w:val="00F60EF0"/>
    <w:rsid w:val="00F61401"/>
    <w:rsid w:val="00F61AE4"/>
    <w:rsid w:val="00F64651"/>
    <w:rsid w:val="00F64C8E"/>
    <w:rsid w:val="00F65196"/>
    <w:rsid w:val="00F6557E"/>
    <w:rsid w:val="00F65678"/>
    <w:rsid w:val="00F65684"/>
    <w:rsid w:val="00F65C42"/>
    <w:rsid w:val="00F66748"/>
    <w:rsid w:val="00F66AC5"/>
    <w:rsid w:val="00F702AE"/>
    <w:rsid w:val="00F70301"/>
    <w:rsid w:val="00F70B87"/>
    <w:rsid w:val="00F71748"/>
    <w:rsid w:val="00F717DD"/>
    <w:rsid w:val="00F7252A"/>
    <w:rsid w:val="00F7264C"/>
    <w:rsid w:val="00F72AEA"/>
    <w:rsid w:val="00F72F15"/>
    <w:rsid w:val="00F73BC4"/>
    <w:rsid w:val="00F73D74"/>
    <w:rsid w:val="00F73F80"/>
    <w:rsid w:val="00F74103"/>
    <w:rsid w:val="00F74582"/>
    <w:rsid w:val="00F75661"/>
    <w:rsid w:val="00F76207"/>
    <w:rsid w:val="00F770CD"/>
    <w:rsid w:val="00F80678"/>
    <w:rsid w:val="00F8079A"/>
    <w:rsid w:val="00F81A0F"/>
    <w:rsid w:val="00F81F8F"/>
    <w:rsid w:val="00F826CC"/>
    <w:rsid w:val="00F82D4B"/>
    <w:rsid w:val="00F83790"/>
    <w:rsid w:val="00F83C70"/>
    <w:rsid w:val="00F83DB1"/>
    <w:rsid w:val="00F842B9"/>
    <w:rsid w:val="00F852EE"/>
    <w:rsid w:val="00F856C1"/>
    <w:rsid w:val="00F87266"/>
    <w:rsid w:val="00F87275"/>
    <w:rsid w:val="00F87648"/>
    <w:rsid w:val="00F87CF0"/>
    <w:rsid w:val="00F90594"/>
    <w:rsid w:val="00F9063D"/>
    <w:rsid w:val="00F90958"/>
    <w:rsid w:val="00F9184C"/>
    <w:rsid w:val="00F93415"/>
    <w:rsid w:val="00F935A1"/>
    <w:rsid w:val="00F94068"/>
    <w:rsid w:val="00F94114"/>
    <w:rsid w:val="00F941C3"/>
    <w:rsid w:val="00F94402"/>
    <w:rsid w:val="00F94798"/>
    <w:rsid w:val="00F9497A"/>
    <w:rsid w:val="00F94F8D"/>
    <w:rsid w:val="00F96E84"/>
    <w:rsid w:val="00FA06E7"/>
    <w:rsid w:val="00FA07E8"/>
    <w:rsid w:val="00FA090D"/>
    <w:rsid w:val="00FA0CF1"/>
    <w:rsid w:val="00FA1B0E"/>
    <w:rsid w:val="00FA2ACF"/>
    <w:rsid w:val="00FA4147"/>
    <w:rsid w:val="00FA4F5D"/>
    <w:rsid w:val="00FA61D5"/>
    <w:rsid w:val="00FA62B9"/>
    <w:rsid w:val="00FA675C"/>
    <w:rsid w:val="00FA6E59"/>
    <w:rsid w:val="00FA77C0"/>
    <w:rsid w:val="00FA79D9"/>
    <w:rsid w:val="00FA7F90"/>
    <w:rsid w:val="00FB003B"/>
    <w:rsid w:val="00FB1E96"/>
    <w:rsid w:val="00FB2813"/>
    <w:rsid w:val="00FB2AE0"/>
    <w:rsid w:val="00FB2E82"/>
    <w:rsid w:val="00FB2EEA"/>
    <w:rsid w:val="00FB5871"/>
    <w:rsid w:val="00FB61A3"/>
    <w:rsid w:val="00FB66A9"/>
    <w:rsid w:val="00FB6909"/>
    <w:rsid w:val="00FB6999"/>
    <w:rsid w:val="00FB6F1E"/>
    <w:rsid w:val="00FB7058"/>
    <w:rsid w:val="00FB73D6"/>
    <w:rsid w:val="00FB7BB4"/>
    <w:rsid w:val="00FC01E0"/>
    <w:rsid w:val="00FC070C"/>
    <w:rsid w:val="00FC0AF0"/>
    <w:rsid w:val="00FC0EF0"/>
    <w:rsid w:val="00FC22EF"/>
    <w:rsid w:val="00FC355B"/>
    <w:rsid w:val="00FC3BF4"/>
    <w:rsid w:val="00FC4B2F"/>
    <w:rsid w:val="00FC4E38"/>
    <w:rsid w:val="00FC5261"/>
    <w:rsid w:val="00FC7D02"/>
    <w:rsid w:val="00FD019E"/>
    <w:rsid w:val="00FD124F"/>
    <w:rsid w:val="00FD1802"/>
    <w:rsid w:val="00FD1EE5"/>
    <w:rsid w:val="00FD255C"/>
    <w:rsid w:val="00FD29FC"/>
    <w:rsid w:val="00FD3988"/>
    <w:rsid w:val="00FD39AF"/>
    <w:rsid w:val="00FD3A15"/>
    <w:rsid w:val="00FD552E"/>
    <w:rsid w:val="00FE0254"/>
    <w:rsid w:val="00FE1040"/>
    <w:rsid w:val="00FE1174"/>
    <w:rsid w:val="00FE15D0"/>
    <w:rsid w:val="00FE16EE"/>
    <w:rsid w:val="00FE18A2"/>
    <w:rsid w:val="00FE1B9B"/>
    <w:rsid w:val="00FE576E"/>
    <w:rsid w:val="00FE577D"/>
    <w:rsid w:val="00FE5793"/>
    <w:rsid w:val="00FE5C88"/>
    <w:rsid w:val="00FE5EA6"/>
    <w:rsid w:val="00FE67AD"/>
    <w:rsid w:val="00FE7A56"/>
    <w:rsid w:val="00FE7B7E"/>
    <w:rsid w:val="00FF2F64"/>
    <w:rsid w:val="00FF3552"/>
    <w:rsid w:val="00FF401D"/>
    <w:rsid w:val="00FF48C8"/>
    <w:rsid w:val="00FF491F"/>
    <w:rsid w:val="00FF4A11"/>
    <w:rsid w:val="00FF4F26"/>
    <w:rsid w:val="00FF5A3A"/>
    <w:rsid w:val="00FF6089"/>
    <w:rsid w:val="00FF62CD"/>
    <w:rsid w:val="00FF6A29"/>
    <w:rsid w:val="00FF6E35"/>
    <w:rsid w:val="00FF6FA4"/>
    <w:rsid w:val="00FF7040"/>
    <w:rsid w:val="00FF7095"/>
    <w:rsid w:val="00FF776A"/>
    <w:rsid w:val="00FF7D27"/>
    <w:rsid w:val="014B6490"/>
    <w:rsid w:val="017215DB"/>
    <w:rsid w:val="02525157"/>
    <w:rsid w:val="02D940EF"/>
    <w:rsid w:val="02FA1030"/>
    <w:rsid w:val="031ADEB6"/>
    <w:rsid w:val="035446ED"/>
    <w:rsid w:val="036542A2"/>
    <w:rsid w:val="049CA791"/>
    <w:rsid w:val="049D3513"/>
    <w:rsid w:val="05021BD5"/>
    <w:rsid w:val="0544EEDF"/>
    <w:rsid w:val="0551AF82"/>
    <w:rsid w:val="05E90FC1"/>
    <w:rsid w:val="063CBA1B"/>
    <w:rsid w:val="066EC7E8"/>
    <w:rsid w:val="0673D24A"/>
    <w:rsid w:val="067DE0B0"/>
    <w:rsid w:val="07169F06"/>
    <w:rsid w:val="07C08017"/>
    <w:rsid w:val="08275C22"/>
    <w:rsid w:val="0853600E"/>
    <w:rsid w:val="08AEF2ED"/>
    <w:rsid w:val="08C82A9F"/>
    <w:rsid w:val="09ACC0D1"/>
    <w:rsid w:val="0A1F816E"/>
    <w:rsid w:val="0A76E304"/>
    <w:rsid w:val="0A7A93B1"/>
    <w:rsid w:val="0B5993AF"/>
    <w:rsid w:val="0B7D9EF4"/>
    <w:rsid w:val="0BCC8E3D"/>
    <w:rsid w:val="0C05BBBE"/>
    <w:rsid w:val="0C12322E"/>
    <w:rsid w:val="0C3E7608"/>
    <w:rsid w:val="0C40BCC3"/>
    <w:rsid w:val="0C580DDE"/>
    <w:rsid w:val="0CBD8B0B"/>
    <w:rsid w:val="0CD5BD1B"/>
    <w:rsid w:val="0D6070A5"/>
    <w:rsid w:val="0D662E5C"/>
    <w:rsid w:val="0D712478"/>
    <w:rsid w:val="0DA5EA6E"/>
    <w:rsid w:val="0F4B6DC2"/>
    <w:rsid w:val="0FDEB892"/>
    <w:rsid w:val="1029E307"/>
    <w:rsid w:val="103272C6"/>
    <w:rsid w:val="10853C2D"/>
    <w:rsid w:val="10988619"/>
    <w:rsid w:val="10E73E23"/>
    <w:rsid w:val="110741FC"/>
    <w:rsid w:val="11A8EFFA"/>
    <w:rsid w:val="11D1FA27"/>
    <w:rsid w:val="11D8FA1E"/>
    <w:rsid w:val="11DBDD8C"/>
    <w:rsid w:val="11DEA193"/>
    <w:rsid w:val="12286D43"/>
    <w:rsid w:val="12347E2C"/>
    <w:rsid w:val="128A05AC"/>
    <w:rsid w:val="1290521F"/>
    <w:rsid w:val="13FB8133"/>
    <w:rsid w:val="147D24F1"/>
    <w:rsid w:val="14B65DBC"/>
    <w:rsid w:val="1564C683"/>
    <w:rsid w:val="158D1BBC"/>
    <w:rsid w:val="15F179AF"/>
    <w:rsid w:val="161211E4"/>
    <w:rsid w:val="17425D21"/>
    <w:rsid w:val="17CF8996"/>
    <w:rsid w:val="181D2CE5"/>
    <w:rsid w:val="18BE2DA3"/>
    <w:rsid w:val="197322B6"/>
    <w:rsid w:val="19C31598"/>
    <w:rsid w:val="1A014B7C"/>
    <w:rsid w:val="1A3F3040"/>
    <w:rsid w:val="1A98756C"/>
    <w:rsid w:val="1B531152"/>
    <w:rsid w:val="1BF5A902"/>
    <w:rsid w:val="1C1BB23F"/>
    <w:rsid w:val="1C548F70"/>
    <w:rsid w:val="1C5CA485"/>
    <w:rsid w:val="1C650718"/>
    <w:rsid w:val="1C8EE517"/>
    <w:rsid w:val="1D0D9504"/>
    <w:rsid w:val="1D955F3F"/>
    <w:rsid w:val="1D9EF079"/>
    <w:rsid w:val="1DC2F0E5"/>
    <w:rsid w:val="1DEF8488"/>
    <w:rsid w:val="1EF1843B"/>
    <w:rsid w:val="1F4B6E4B"/>
    <w:rsid w:val="1F50D608"/>
    <w:rsid w:val="1F7A8BB6"/>
    <w:rsid w:val="1FCD70AA"/>
    <w:rsid w:val="2056D93C"/>
    <w:rsid w:val="2061C829"/>
    <w:rsid w:val="2065902D"/>
    <w:rsid w:val="20A062EF"/>
    <w:rsid w:val="20A4D3AB"/>
    <w:rsid w:val="215C43B6"/>
    <w:rsid w:val="2193461A"/>
    <w:rsid w:val="21F3AE87"/>
    <w:rsid w:val="220E8B28"/>
    <w:rsid w:val="22458C47"/>
    <w:rsid w:val="225FD266"/>
    <w:rsid w:val="22B3AC35"/>
    <w:rsid w:val="22E1AAD1"/>
    <w:rsid w:val="22E75293"/>
    <w:rsid w:val="23209B8B"/>
    <w:rsid w:val="23538245"/>
    <w:rsid w:val="236A3A97"/>
    <w:rsid w:val="2379F2B1"/>
    <w:rsid w:val="243A5F0D"/>
    <w:rsid w:val="248C8FB7"/>
    <w:rsid w:val="24913420"/>
    <w:rsid w:val="24E85B81"/>
    <w:rsid w:val="24F3C1F2"/>
    <w:rsid w:val="25090614"/>
    <w:rsid w:val="2520B716"/>
    <w:rsid w:val="267D5AD2"/>
    <w:rsid w:val="26E879DA"/>
    <w:rsid w:val="26EBADBD"/>
    <w:rsid w:val="2706D82D"/>
    <w:rsid w:val="27195578"/>
    <w:rsid w:val="273B23D0"/>
    <w:rsid w:val="2752D078"/>
    <w:rsid w:val="27B11DE7"/>
    <w:rsid w:val="283865FF"/>
    <w:rsid w:val="286CBB88"/>
    <w:rsid w:val="28C7E2F2"/>
    <w:rsid w:val="290DD872"/>
    <w:rsid w:val="29978ECA"/>
    <w:rsid w:val="29F9E399"/>
    <w:rsid w:val="2A4E4EA1"/>
    <w:rsid w:val="2A994147"/>
    <w:rsid w:val="2AF926AA"/>
    <w:rsid w:val="2B352212"/>
    <w:rsid w:val="2B47B4B4"/>
    <w:rsid w:val="2B7EDEC9"/>
    <w:rsid w:val="2B839081"/>
    <w:rsid w:val="2C15A2E7"/>
    <w:rsid w:val="2C178BA6"/>
    <w:rsid w:val="2C5921DB"/>
    <w:rsid w:val="2C9F83F9"/>
    <w:rsid w:val="2DF009C1"/>
    <w:rsid w:val="2EA4FBA3"/>
    <w:rsid w:val="2ED3C80E"/>
    <w:rsid w:val="2ED4D39C"/>
    <w:rsid w:val="2FBBC400"/>
    <w:rsid w:val="3034045B"/>
    <w:rsid w:val="3085F23F"/>
    <w:rsid w:val="308E66C7"/>
    <w:rsid w:val="31491F8E"/>
    <w:rsid w:val="31E8175E"/>
    <w:rsid w:val="3221C2A0"/>
    <w:rsid w:val="325C2FEF"/>
    <w:rsid w:val="32875A83"/>
    <w:rsid w:val="32A80FEE"/>
    <w:rsid w:val="32BE6D3A"/>
    <w:rsid w:val="339B56C9"/>
    <w:rsid w:val="33BD9301"/>
    <w:rsid w:val="33C2A8C1"/>
    <w:rsid w:val="33F0A536"/>
    <w:rsid w:val="3408B16F"/>
    <w:rsid w:val="3518CAAB"/>
    <w:rsid w:val="35205791"/>
    <w:rsid w:val="35236740"/>
    <w:rsid w:val="35572C6D"/>
    <w:rsid w:val="35700714"/>
    <w:rsid w:val="35E13E02"/>
    <w:rsid w:val="36C133A3"/>
    <w:rsid w:val="36CA57F1"/>
    <w:rsid w:val="376D3D3C"/>
    <w:rsid w:val="377F8CDB"/>
    <w:rsid w:val="37B41841"/>
    <w:rsid w:val="38063A7D"/>
    <w:rsid w:val="380B25CF"/>
    <w:rsid w:val="389814F0"/>
    <w:rsid w:val="389EB7B2"/>
    <w:rsid w:val="391AB0AB"/>
    <w:rsid w:val="391D76CB"/>
    <w:rsid w:val="39DF976F"/>
    <w:rsid w:val="3A185AC7"/>
    <w:rsid w:val="3A637BD7"/>
    <w:rsid w:val="3A6AA133"/>
    <w:rsid w:val="3AAF38D0"/>
    <w:rsid w:val="3ABDD541"/>
    <w:rsid w:val="3ADB44D0"/>
    <w:rsid w:val="3B271C7D"/>
    <w:rsid w:val="3B76D2BE"/>
    <w:rsid w:val="3BA1D7BE"/>
    <w:rsid w:val="3BBF2FCF"/>
    <w:rsid w:val="3BC740F9"/>
    <w:rsid w:val="3BFE9C6E"/>
    <w:rsid w:val="3C127E2C"/>
    <w:rsid w:val="3C34981F"/>
    <w:rsid w:val="3C9DC8C3"/>
    <w:rsid w:val="3CDE556F"/>
    <w:rsid w:val="3CDFD426"/>
    <w:rsid w:val="3DA44187"/>
    <w:rsid w:val="3DBDB208"/>
    <w:rsid w:val="3E85BED8"/>
    <w:rsid w:val="3EF25DDD"/>
    <w:rsid w:val="3F00115B"/>
    <w:rsid w:val="3FF82360"/>
    <w:rsid w:val="400EE229"/>
    <w:rsid w:val="4042C660"/>
    <w:rsid w:val="40A5E7F9"/>
    <w:rsid w:val="41299133"/>
    <w:rsid w:val="41A2DD83"/>
    <w:rsid w:val="41BCAFB3"/>
    <w:rsid w:val="41DD4107"/>
    <w:rsid w:val="42097788"/>
    <w:rsid w:val="428A32BF"/>
    <w:rsid w:val="428F4A29"/>
    <w:rsid w:val="42F29471"/>
    <w:rsid w:val="430AA34C"/>
    <w:rsid w:val="43116FFE"/>
    <w:rsid w:val="43AFE837"/>
    <w:rsid w:val="43B40CA6"/>
    <w:rsid w:val="45045F69"/>
    <w:rsid w:val="46416C6D"/>
    <w:rsid w:val="464C6762"/>
    <w:rsid w:val="46693765"/>
    <w:rsid w:val="472EC7A1"/>
    <w:rsid w:val="47C7220F"/>
    <w:rsid w:val="47DE65F9"/>
    <w:rsid w:val="47E8B137"/>
    <w:rsid w:val="4870E4F3"/>
    <w:rsid w:val="4A603EF5"/>
    <w:rsid w:val="4A7C1C31"/>
    <w:rsid w:val="4AC05DB5"/>
    <w:rsid w:val="4B8F116C"/>
    <w:rsid w:val="4B9E032F"/>
    <w:rsid w:val="4C1A4ABC"/>
    <w:rsid w:val="4C6526E5"/>
    <w:rsid w:val="4D17A0F3"/>
    <w:rsid w:val="4D3D9291"/>
    <w:rsid w:val="4DECB817"/>
    <w:rsid w:val="4EDA00F2"/>
    <w:rsid w:val="4FACC548"/>
    <w:rsid w:val="503E0EEB"/>
    <w:rsid w:val="50891A89"/>
    <w:rsid w:val="51734A01"/>
    <w:rsid w:val="518C08BB"/>
    <w:rsid w:val="51A9BF2F"/>
    <w:rsid w:val="51D780F6"/>
    <w:rsid w:val="52AB459D"/>
    <w:rsid w:val="5364A2E9"/>
    <w:rsid w:val="54579D8A"/>
    <w:rsid w:val="54B56880"/>
    <w:rsid w:val="54CC1927"/>
    <w:rsid w:val="554A2B97"/>
    <w:rsid w:val="559ED568"/>
    <w:rsid w:val="55F48B6F"/>
    <w:rsid w:val="5649AE99"/>
    <w:rsid w:val="56DAA2B0"/>
    <w:rsid w:val="56EA3F70"/>
    <w:rsid w:val="57252A0C"/>
    <w:rsid w:val="57354888"/>
    <w:rsid w:val="5778FE06"/>
    <w:rsid w:val="57E5335F"/>
    <w:rsid w:val="58190B23"/>
    <w:rsid w:val="5898C2F5"/>
    <w:rsid w:val="58E8305F"/>
    <w:rsid w:val="5900348A"/>
    <w:rsid w:val="595263ED"/>
    <w:rsid w:val="5A6646D4"/>
    <w:rsid w:val="5AE64420"/>
    <w:rsid w:val="5BD1EBF9"/>
    <w:rsid w:val="5D0C6A59"/>
    <w:rsid w:val="5D6E720F"/>
    <w:rsid w:val="5D7C44E8"/>
    <w:rsid w:val="5D8B5192"/>
    <w:rsid w:val="5E55A8FA"/>
    <w:rsid w:val="5E8809D1"/>
    <w:rsid w:val="5F54FEB5"/>
    <w:rsid w:val="5F6FC5A5"/>
    <w:rsid w:val="5F8F718B"/>
    <w:rsid w:val="5FE86DFA"/>
    <w:rsid w:val="6093F7D1"/>
    <w:rsid w:val="60B19406"/>
    <w:rsid w:val="610FC80F"/>
    <w:rsid w:val="612AC54A"/>
    <w:rsid w:val="6132F9D7"/>
    <w:rsid w:val="6162B49E"/>
    <w:rsid w:val="6180F695"/>
    <w:rsid w:val="61E1E316"/>
    <w:rsid w:val="6292520A"/>
    <w:rsid w:val="62B26AA6"/>
    <w:rsid w:val="633811F3"/>
    <w:rsid w:val="6353D2BD"/>
    <w:rsid w:val="63848126"/>
    <w:rsid w:val="63EA7CC5"/>
    <w:rsid w:val="641953C7"/>
    <w:rsid w:val="6443F591"/>
    <w:rsid w:val="647D988C"/>
    <w:rsid w:val="64FB8CC4"/>
    <w:rsid w:val="6571C220"/>
    <w:rsid w:val="65EA864E"/>
    <w:rsid w:val="668308FA"/>
    <w:rsid w:val="6685E7BB"/>
    <w:rsid w:val="669C6855"/>
    <w:rsid w:val="67CEAB54"/>
    <w:rsid w:val="682A3537"/>
    <w:rsid w:val="68DDA815"/>
    <w:rsid w:val="690F276A"/>
    <w:rsid w:val="69142132"/>
    <w:rsid w:val="6942DEA4"/>
    <w:rsid w:val="69DC2983"/>
    <w:rsid w:val="69EAF31D"/>
    <w:rsid w:val="6A663606"/>
    <w:rsid w:val="6B27338F"/>
    <w:rsid w:val="6B4EB2DB"/>
    <w:rsid w:val="6B7D1CD6"/>
    <w:rsid w:val="6C1AEDCA"/>
    <w:rsid w:val="6C9ABE34"/>
    <w:rsid w:val="6CB8A0F4"/>
    <w:rsid w:val="6D2ECB34"/>
    <w:rsid w:val="6D72C89E"/>
    <w:rsid w:val="6DBA0E24"/>
    <w:rsid w:val="6E63EDAA"/>
    <w:rsid w:val="6E78A2E0"/>
    <w:rsid w:val="6ECB1AB2"/>
    <w:rsid w:val="6ED244E1"/>
    <w:rsid w:val="6EF01936"/>
    <w:rsid w:val="6EF98317"/>
    <w:rsid w:val="6F01B046"/>
    <w:rsid w:val="6F2264F0"/>
    <w:rsid w:val="6F625812"/>
    <w:rsid w:val="701BDA07"/>
    <w:rsid w:val="70295717"/>
    <w:rsid w:val="707D46F3"/>
    <w:rsid w:val="7133DE2F"/>
    <w:rsid w:val="723D722B"/>
    <w:rsid w:val="72826515"/>
    <w:rsid w:val="72E3DEC8"/>
    <w:rsid w:val="7385BEE3"/>
    <w:rsid w:val="73898A64"/>
    <w:rsid w:val="73BD5C58"/>
    <w:rsid w:val="73C0249D"/>
    <w:rsid w:val="7418A466"/>
    <w:rsid w:val="745BD59D"/>
    <w:rsid w:val="7531B116"/>
    <w:rsid w:val="756CF476"/>
    <w:rsid w:val="757B3ABD"/>
    <w:rsid w:val="75B35C48"/>
    <w:rsid w:val="75C6849E"/>
    <w:rsid w:val="75D344DB"/>
    <w:rsid w:val="76109893"/>
    <w:rsid w:val="76145C9F"/>
    <w:rsid w:val="76717058"/>
    <w:rsid w:val="76F07505"/>
    <w:rsid w:val="778E00FE"/>
    <w:rsid w:val="77C3F0D2"/>
    <w:rsid w:val="780D3BAE"/>
    <w:rsid w:val="7821D306"/>
    <w:rsid w:val="785EEF28"/>
    <w:rsid w:val="789145AA"/>
    <w:rsid w:val="79567130"/>
    <w:rsid w:val="79EC8104"/>
    <w:rsid w:val="7A70DADD"/>
    <w:rsid w:val="7B961D82"/>
    <w:rsid w:val="7BB8DC79"/>
    <w:rsid w:val="7C05235A"/>
    <w:rsid w:val="7CCC84B7"/>
    <w:rsid w:val="7CD4FE21"/>
    <w:rsid w:val="7CD806BC"/>
    <w:rsid w:val="7CE23A23"/>
    <w:rsid w:val="7E2DC7A3"/>
    <w:rsid w:val="7E9DC30F"/>
    <w:rsid w:val="7EE29FA0"/>
    <w:rsid w:val="7F8B8DCB"/>
    <w:rsid w:val="7FA0E1AA"/>
    <w:rsid w:val="7FEEE1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5578"/>
  <w15:chartTrackingRefBased/>
  <w15:docId w15:val="{1F25865A-E06B-ED43-9BD6-38568878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71B85"/>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link w:val="Heading3Char"/>
    <w:uiPriority w:val="9"/>
    <w:qFormat/>
    <w:rsid w:val="00452DFC"/>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F49100"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7252A"/>
    <w:rPr>
      <w:color w:val="85DFD0" w:themeColor="followedHyperlink"/>
      <w:u w:val="single"/>
    </w:rPr>
  </w:style>
  <w:style w:type="character" w:customStyle="1" w:styleId="normaltextrun">
    <w:name w:val="normaltextrun"/>
    <w:basedOn w:val="DefaultParagraphFont"/>
    <w:rsid w:val="00F7252A"/>
  </w:style>
  <w:style w:type="character" w:customStyle="1" w:styleId="eop">
    <w:name w:val="eop"/>
    <w:basedOn w:val="DefaultParagraphFont"/>
    <w:rsid w:val="00F7252A"/>
  </w:style>
  <w:style w:type="paragraph" w:customStyle="1" w:styleId="paragraph">
    <w:name w:val="paragraph"/>
    <w:basedOn w:val="Normal"/>
    <w:rsid w:val="001709FC"/>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00FC2"/>
    <w:rPr>
      <w:b/>
      <w:bCs/>
    </w:rPr>
  </w:style>
  <w:style w:type="character" w:customStyle="1" w:styleId="CommentSubjectChar">
    <w:name w:val="Comment Subject Char"/>
    <w:basedOn w:val="CommentTextChar"/>
    <w:link w:val="CommentSubject"/>
    <w:uiPriority w:val="99"/>
    <w:semiHidden/>
    <w:rsid w:val="00100FC2"/>
    <w:rPr>
      <w:b/>
      <w:bCs/>
      <w:sz w:val="20"/>
      <w:szCs w:val="20"/>
    </w:rPr>
  </w:style>
  <w:style w:type="character" w:styleId="UnresolvedMention">
    <w:name w:val="Unresolved Mention"/>
    <w:basedOn w:val="DefaultParagraphFont"/>
    <w:uiPriority w:val="99"/>
    <w:semiHidden/>
    <w:unhideWhenUsed/>
    <w:rsid w:val="00E10FBF"/>
    <w:rPr>
      <w:color w:val="605E5C"/>
      <w:shd w:val="clear" w:color="auto" w:fill="E1DFDD"/>
    </w:rPr>
  </w:style>
  <w:style w:type="paragraph" w:styleId="Header">
    <w:name w:val="header"/>
    <w:basedOn w:val="Normal"/>
    <w:link w:val="HeaderChar"/>
    <w:uiPriority w:val="99"/>
    <w:unhideWhenUsed/>
    <w:rsid w:val="00E01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F"/>
  </w:style>
  <w:style w:type="paragraph" w:styleId="Footer">
    <w:name w:val="footer"/>
    <w:basedOn w:val="Normal"/>
    <w:link w:val="FooterChar"/>
    <w:uiPriority w:val="99"/>
    <w:unhideWhenUsed/>
    <w:rsid w:val="00E0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F"/>
  </w:style>
  <w:style w:type="character" w:styleId="Mention">
    <w:name w:val="Mention"/>
    <w:basedOn w:val="DefaultParagraphFont"/>
    <w:uiPriority w:val="99"/>
    <w:unhideWhenUsed/>
    <w:rsid w:val="00A866EA"/>
    <w:rPr>
      <w:color w:val="2B579A"/>
      <w:shd w:val="clear" w:color="auto" w:fill="E1DFDD"/>
    </w:rPr>
  </w:style>
  <w:style w:type="paragraph" w:styleId="Revision">
    <w:name w:val="Revision"/>
    <w:hidden/>
    <w:uiPriority w:val="99"/>
    <w:semiHidden/>
    <w:rsid w:val="00094C9A"/>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01A7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DefaultParagraphFont"/>
    <w:rsid w:val="00301A72"/>
  </w:style>
  <w:style w:type="character" w:styleId="Strong">
    <w:name w:val="Strong"/>
    <w:basedOn w:val="DefaultParagraphFont"/>
    <w:uiPriority w:val="22"/>
    <w:qFormat/>
    <w:rsid w:val="00301A72"/>
    <w:rPr>
      <w:b/>
      <w:bCs/>
    </w:rPr>
  </w:style>
  <w:style w:type="character" w:customStyle="1" w:styleId="Heading3Char">
    <w:name w:val="Heading 3 Char"/>
    <w:basedOn w:val="DefaultParagraphFont"/>
    <w:link w:val="Heading3"/>
    <w:uiPriority w:val="9"/>
    <w:rsid w:val="00452DFC"/>
    <w:rPr>
      <w:rFonts w:ascii="Times New Roman" w:eastAsia="Times New Roman" w:hAnsi="Times New Roman" w:cs="Times New Roman"/>
      <w:b/>
      <w:bCs/>
      <w:sz w:val="27"/>
      <w:szCs w:val="27"/>
      <w:lang w:eastAsia="zh-CN"/>
    </w:rPr>
  </w:style>
  <w:style w:type="character" w:customStyle="1" w:styleId="Heading2Char">
    <w:name w:val="Heading 2 Char"/>
    <w:basedOn w:val="DefaultParagraphFont"/>
    <w:link w:val="Heading2"/>
    <w:uiPriority w:val="9"/>
    <w:semiHidden/>
    <w:rsid w:val="00471B85"/>
    <w:rPr>
      <w:rFonts w:asciiTheme="majorHAnsi" w:eastAsiaTheme="majorEastAsia" w:hAnsiTheme="majorHAnsi" w:cstheme="majorBidi"/>
      <w:color w:val="0B5294"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911017">
      <w:bodyDiv w:val="1"/>
      <w:marLeft w:val="0"/>
      <w:marRight w:val="0"/>
      <w:marTop w:val="0"/>
      <w:marBottom w:val="0"/>
      <w:divBdr>
        <w:top w:val="none" w:sz="0" w:space="0" w:color="auto"/>
        <w:left w:val="none" w:sz="0" w:space="0" w:color="auto"/>
        <w:bottom w:val="none" w:sz="0" w:space="0" w:color="auto"/>
        <w:right w:val="none" w:sz="0" w:space="0" w:color="auto"/>
      </w:divBdr>
      <w:divsChild>
        <w:div w:id="45760561">
          <w:marLeft w:val="0"/>
          <w:marRight w:val="0"/>
          <w:marTop w:val="0"/>
          <w:marBottom w:val="0"/>
          <w:divBdr>
            <w:top w:val="none" w:sz="0" w:space="0" w:color="auto"/>
            <w:left w:val="none" w:sz="0" w:space="0" w:color="auto"/>
            <w:bottom w:val="none" w:sz="0" w:space="0" w:color="auto"/>
            <w:right w:val="none" w:sz="0" w:space="0" w:color="auto"/>
          </w:divBdr>
        </w:div>
        <w:div w:id="87046824">
          <w:marLeft w:val="0"/>
          <w:marRight w:val="0"/>
          <w:marTop w:val="0"/>
          <w:marBottom w:val="0"/>
          <w:divBdr>
            <w:top w:val="none" w:sz="0" w:space="0" w:color="auto"/>
            <w:left w:val="none" w:sz="0" w:space="0" w:color="auto"/>
            <w:bottom w:val="none" w:sz="0" w:space="0" w:color="auto"/>
            <w:right w:val="none" w:sz="0" w:space="0" w:color="auto"/>
          </w:divBdr>
        </w:div>
        <w:div w:id="100611041">
          <w:marLeft w:val="0"/>
          <w:marRight w:val="0"/>
          <w:marTop w:val="0"/>
          <w:marBottom w:val="0"/>
          <w:divBdr>
            <w:top w:val="none" w:sz="0" w:space="0" w:color="auto"/>
            <w:left w:val="none" w:sz="0" w:space="0" w:color="auto"/>
            <w:bottom w:val="none" w:sz="0" w:space="0" w:color="auto"/>
            <w:right w:val="none" w:sz="0" w:space="0" w:color="auto"/>
          </w:divBdr>
        </w:div>
        <w:div w:id="295064154">
          <w:marLeft w:val="0"/>
          <w:marRight w:val="0"/>
          <w:marTop w:val="0"/>
          <w:marBottom w:val="0"/>
          <w:divBdr>
            <w:top w:val="none" w:sz="0" w:space="0" w:color="auto"/>
            <w:left w:val="none" w:sz="0" w:space="0" w:color="auto"/>
            <w:bottom w:val="none" w:sz="0" w:space="0" w:color="auto"/>
            <w:right w:val="none" w:sz="0" w:space="0" w:color="auto"/>
          </w:divBdr>
        </w:div>
        <w:div w:id="418261233">
          <w:marLeft w:val="0"/>
          <w:marRight w:val="0"/>
          <w:marTop w:val="0"/>
          <w:marBottom w:val="0"/>
          <w:divBdr>
            <w:top w:val="none" w:sz="0" w:space="0" w:color="auto"/>
            <w:left w:val="none" w:sz="0" w:space="0" w:color="auto"/>
            <w:bottom w:val="none" w:sz="0" w:space="0" w:color="auto"/>
            <w:right w:val="none" w:sz="0" w:space="0" w:color="auto"/>
          </w:divBdr>
        </w:div>
        <w:div w:id="459031433">
          <w:marLeft w:val="0"/>
          <w:marRight w:val="0"/>
          <w:marTop w:val="0"/>
          <w:marBottom w:val="0"/>
          <w:divBdr>
            <w:top w:val="none" w:sz="0" w:space="0" w:color="auto"/>
            <w:left w:val="none" w:sz="0" w:space="0" w:color="auto"/>
            <w:bottom w:val="none" w:sz="0" w:space="0" w:color="auto"/>
            <w:right w:val="none" w:sz="0" w:space="0" w:color="auto"/>
          </w:divBdr>
        </w:div>
        <w:div w:id="464928873">
          <w:marLeft w:val="0"/>
          <w:marRight w:val="0"/>
          <w:marTop w:val="0"/>
          <w:marBottom w:val="0"/>
          <w:divBdr>
            <w:top w:val="none" w:sz="0" w:space="0" w:color="auto"/>
            <w:left w:val="none" w:sz="0" w:space="0" w:color="auto"/>
            <w:bottom w:val="none" w:sz="0" w:space="0" w:color="auto"/>
            <w:right w:val="none" w:sz="0" w:space="0" w:color="auto"/>
          </w:divBdr>
        </w:div>
        <w:div w:id="500899071">
          <w:marLeft w:val="0"/>
          <w:marRight w:val="0"/>
          <w:marTop w:val="0"/>
          <w:marBottom w:val="0"/>
          <w:divBdr>
            <w:top w:val="none" w:sz="0" w:space="0" w:color="auto"/>
            <w:left w:val="none" w:sz="0" w:space="0" w:color="auto"/>
            <w:bottom w:val="none" w:sz="0" w:space="0" w:color="auto"/>
            <w:right w:val="none" w:sz="0" w:space="0" w:color="auto"/>
          </w:divBdr>
          <w:divsChild>
            <w:div w:id="1053458175">
              <w:marLeft w:val="-75"/>
              <w:marRight w:val="0"/>
              <w:marTop w:val="30"/>
              <w:marBottom w:val="30"/>
              <w:divBdr>
                <w:top w:val="none" w:sz="0" w:space="0" w:color="auto"/>
                <w:left w:val="none" w:sz="0" w:space="0" w:color="auto"/>
                <w:bottom w:val="none" w:sz="0" w:space="0" w:color="auto"/>
                <w:right w:val="none" w:sz="0" w:space="0" w:color="auto"/>
              </w:divBdr>
              <w:divsChild>
                <w:div w:id="38017181">
                  <w:marLeft w:val="0"/>
                  <w:marRight w:val="0"/>
                  <w:marTop w:val="0"/>
                  <w:marBottom w:val="0"/>
                  <w:divBdr>
                    <w:top w:val="none" w:sz="0" w:space="0" w:color="auto"/>
                    <w:left w:val="none" w:sz="0" w:space="0" w:color="auto"/>
                    <w:bottom w:val="none" w:sz="0" w:space="0" w:color="auto"/>
                    <w:right w:val="none" w:sz="0" w:space="0" w:color="auto"/>
                  </w:divBdr>
                  <w:divsChild>
                    <w:div w:id="1236817219">
                      <w:marLeft w:val="0"/>
                      <w:marRight w:val="0"/>
                      <w:marTop w:val="0"/>
                      <w:marBottom w:val="0"/>
                      <w:divBdr>
                        <w:top w:val="none" w:sz="0" w:space="0" w:color="auto"/>
                        <w:left w:val="none" w:sz="0" w:space="0" w:color="auto"/>
                        <w:bottom w:val="none" w:sz="0" w:space="0" w:color="auto"/>
                        <w:right w:val="none" w:sz="0" w:space="0" w:color="auto"/>
                      </w:divBdr>
                    </w:div>
                  </w:divsChild>
                </w:div>
                <w:div w:id="58017249">
                  <w:marLeft w:val="0"/>
                  <w:marRight w:val="0"/>
                  <w:marTop w:val="0"/>
                  <w:marBottom w:val="0"/>
                  <w:divBdr>
                    <w:top w:val="none" w:sz="0" w:space="0" w:color="auto"/>
                    <w:left w:val="none" w:sz="0" w:space="0" w:color="auto"/>
                    <w:bottom w:val="none" w:sz="0" w:space="0" w:color="auto"/>
                    <w:right w:val="none" w:sz="0" w:space="0" w:color="auto"/>
                  </w:divBdr>
                  <w:divsChild>
                    <w:div w:id="843670942">
                      <w:marLeft w:val="0"/>
                      <w:marRight w:val="0"/>
                      <w:marTop w:val="0"/>
                      <w:marBottom w:val="0"/>
                      <w:divBdr>
                        <w:top w:val="none" w:sz="0" w:space="0" w:color="auto"/>
                        <w:left w:val="none" w:sz="0" w:space="0" w:color="auto"/>
                        <w:bottom w:val="none" w:sz="0" w:space="0" w:color="auto"/>
                        <w:right w:val="none" w:sz="0" w:space="0" w:color="auto"/>
                      </w:divBdr>
                    </w:div>
                  </w:divsChild>
                </w:div>
                <w:div w:id="65341059">
                  <w:marLeft w:val="0"/>
                  <w:marRight w:val="0"/>
                  <w:marTop w:val="0"/>
                  <w:marBottom w:val="0"/>
                  <w:divBdr>
                    <w:top w:val="none" w:sz="0" w:space="0" w:color="auto"/>
                    <w:left w:val="none" w:sz="0" w:space="0" w:color="auto"/>
                    <w:bottom w:val="none" w:sz="0" w:space="0" w:color="auto"/>
                    <w:right w:val="none" w:sz="0" w:space="0" w:color="auto"/>
                  </w:divBdr>
                  <w:divsChild>
                    <w:div w:id="748312298">
                      <w:marLeft w:val="0"/>
                      <w:marRight w:val="0"/>
                      <w:marTop w:val="0"/>
                      <w:marBottom w:val="0"/>
                      <w:divBdr>
                        <w:top w:val="none" w:sz="0" w:space="0" w:color="auto"/>
                        <w:left w:val="none" w:sz="0" w:space="0" w:color="auto"/>
                        <w:bottom w:val="none" w:sz="0" w:space="0" w:color="auto"/>
                        <w:right w:val="none" w:sz="0" w:space="0" w:color="auto"/>
                      </w:divBdr>
                    </w:div>
                  </w:divsChild>
                </w:div>
                <w:div w:id="75327370">
                  <w:marLeft w:val="0"/>
                  <w:marRight w:val="0"/>
                  <w:marTop w:val="0"/>
                  <w:marBottom w:val="0"/>
                  <w:divBdr>
                    <w:top w:val="none" w:sz="0" w:space="0" w:color="auto"/>
                    <w:left w:val="none" w:sz="0" w:space="0" w:color="auto"/>
                    <w:bottom w:val="none" w:sz="0" w:space="0" w:color="auto"/>
                    <w:right w:val="none" w:sz="0" w:space="0" w:color="auto"/>
                  </w:divBdr>
                  <w:divsChild>
                    <w:div w:id="1979456571">
                      <w:marLeft w:val="0"/>
                      <w:marRight w:val="0"/>
                      <w:marTop w:val="0"/>
                      <w:marBottom w:val="0"/>
                      <w:divBdr>
                        <w:top w:val="none" w:sz="0" w:space="0" w:color="auto"/>
                        <w:left w:val="none" w:sz="0" w:space="0" w:color="auto"/>
                        <w:bottom w:val="none" w:sz="0" w:space="0" w:color="auto"/>
                        <w:right w:val="none" w:sz="0" w:space="0" w:color="auto"/>
                      </w:divBdr>
                    </w:div>
                  </w:divsChild>
                </w:div>
                <w:div w:id="81143087">
                  <w:marLeft w:val="0"/>
                  <w:marRight w:val="0"/>
                  <w:marTop w:val="0"/>
                  <w:marBottom w:val="0"/>
                  <w:divBdr>
                    <w:top w:val="none" w:sz="0" w:space="0" w:color="auto"/>
                    <w:left w:val="none" w:sz="0" w:space="0" w:color="auto"/>
                    <w:bottom w:val="none" w:sz="0" w:space="0" w:color="auto"/>
                    <w:right w:val="none" w:sz="0" w:space="0" w:color="auto"/>
                  </w:divBdr>
                  <w:divsChild>
                    <w:div w:id="1273435915">
                      <w:marLeft w:val="0"/>
                      <w:marRight w:val="0"/>
                      <w:marTop w:val="0"/>
                      <w:marBottom w:val="0"/>
                      <w:divBdr>
                        <w:top w:val="none" w:sz="0" w:space="0" w:color="auto"/>
                        <w:left w:val="none" w:sz="0" w:space="0" w:color="auto"/>
                        <w:bottom w:val="none" w:sz="0" w:space="0" w:color="auto"/>
                        <w:right w:val="none" w:sz="0" w:space="0" w:color="auto"/>
                      </w:divBdr>
                    </w:div>
                  </w:divsChild>
                </w:div>
                <w:div w:id="103355241">
                  <w:marLeft w:val="0"/>
                  <w:marRight w:val="0"/>
                  <w:marTop w:val="0"/>
                  <w:marBottom w:val="0"/>
                  <w:divBdr>
                    <w:top w:val="none" w:sz="0" w:space="0" w:color="auto"/>
                    <w:left w:val="none" w:sz="0" w:space="0" w:color="auto"/>
                    <w:bottom w:val="none" w:sz="0" w:space="0" w:color="auto"/>
                    <w:right w:val="none" w:sz="0" w:space="0" w:color="auto"/>
                  </w:divBdr>
                  <w:divsChild>
                    <w:div w:id="1392465626">
                      <w:marLeft w:val="0"/>
                      <w:marRight w:val="0"/>
                      <w:marTop w:val="0"/>
                      <w:marBottom w:val="0"/>
                      <w:divBdr>
                        <w:top w:val="none" w:sz="0" w:space="0" w:color="auto"/>
                        <w:left w:val="none" w:sz="0" w:space="0" w:color="auto"/>
                        <w:bottom w:val="none" w:sz="0" w:space="0" w:color="auto"/>
                        <w:right w:val="none" w:sz="0" w:space="0" w:color="auto"/>
                      </w:divBdr>
                    </w:div>
                  </w:divsChild>
                </w:div>
                <w:div w:id="148988846">
                  <w:marLeft w:val="0"/>
                  <w:marRight w:val="0"/>
                  <w:marTop w:val="0"/>
                  <w:marBottom w:val="0"/>
                  <w:divBdr>
                    <w:top w:val="none" w:sz="0" w:space="0" w:color="auto"/>
                    <w:left w:val="none" w:sz="0" w:space="0" w:color="auto"/>
                    <w:bottom w:val="none" w:sz="0" w:space="0" w:color="auto"/>
                    <w:right w:val="none" w:sz="0" w:space="0" w:color="auto"/>
                  </w:divBdr>
                  <w:divsChild>
                    <w:div w:id="373039026">
                      <w:marLeft w:val="0"/>
                      <w:marRight w:val="0"/>
                      <w:marTop w:val="0"/>
                      <w:marBottom w:val="0"/>
                      <w:divBdr>
                        <w:top w:val="none" w:sz="0" w:space="0" w:color="auto"/>
                        <w:left w:val="none" w:sz="0" w:space="0" w:color="auto"/>
                        <w:bottom w:val="none" w:sz="0" w:space="0" w:color="auto"/>
                        <w:right w:val="none" w:sz="0" w:space="0" w:color="auto"/>
                      </w:divBdr>
                    </w:div>
                  </w:divsChild>
                </w:div>
                <w:div w:id="187331897">
                  <w:marLeft w:val="0"/>
                  <w:marRight w:val="0"/>
                  <w:marTop w:val="0"/>
                  <w:marBottom w:val="0"/>
                  <w:divBdr>
                    <w:top w:val="none" w:sz="0" w:space="0" w:color="auto"/>
                    <w:left w:val="none" w:sz="0" w:space="0" w:color="auto"/>
                    <w:bottom w:val="none" w:sz="0" w:space="0" w:color="auto"/>
                    <w:right w:val="none" w:sz="0" w:space="0" w:color="auto"/>
                  </w:divBdr>
                  <w:divsChild>
                    <w:div w:id="1241210924">
                      <w:marLeft w:val="0"/>
                      <w:marRight w:val="0"/>
                      <w:marTop w:val="0"/>
                      <w:marBottom w:val="0"/>
                      <w:divBdr>
                        <w:top w:val="none" w:sz="0" w:space="0" w:color="auto"/>
                        <w:left w:val="none" w:sz="0" w:space="0" w:color="auto"/>
                        <w:bottom w:val="none" w:sz="0" w:space="0" w:color="auto"/>
                        <w:right w:val="none" w:sz="0" w:space="0" w:color="auto"/>
                      </w:divBdr>
                    </w:div>
                  </w:divsChild>
                </w:div>
                <w:div w:id="215895852">
                  <w:marLeft w:val="0"/>
                  <w:marRight w:val="0"/>
                  <w:marTop w:val="0"/>
                  <w:marBottom w:val="0"/>
                  <w:divBdr>
                    <w:top w:val="none" w:sz="0" w:space="0" w:color="auto"/>
                    <w:left w:val="none" w:sz="0" w:space="0" w:color="auto"/>
                    <w:bottom w:val="none" w:sz="0" w:space="0" w:color="auto"/>
                    <w:right w:val="none" w:sz="0" w:space="0" w:color="auto"/>
                  </w:divBdr>
                  <w:divsChild>
                    <w:div w:id="289674422">
                      <w:marLeft w:val="0"/>
                      <w:marRight w:val="0"/>
                      <w:marTop w:val="0"/>
                      <w:marBottom w:val="0"/>
                      <w:divBdr>
                        <w:top w:val="none" w:sz="0" w:space="0" w:color="auto"/>
                        <w:left w:val="none" w:sz="0" w:space="0" w:color="auto"/>
                        <w:bottom w:val="none" w:sz="0" w:space="0" w:color="auto"/>
                        <w:right w:val="none" w:sz="0" w:space="0" w:color="auto"/>
                      </w:divBdr>
                    </w:div>
                  </w:divsChild>
                </w:div>
                <w:div w:id="235166335">
                  <w:marLeft w:val="0"/>
                  <w:marRight w:val="0"/>
                  <w:marTop w:val="0"/>
                  <w:marBottom w:val="0"/>
                  <w:divBdr>
                    <w:top w:val="none" w:sz="0" w:space="0" w:color="auto"/>
                    <w:left w:val="none" w:sz="0" w:space="0" w:color="auto"/>
                    <w:bottom w:val="none" w:sz="0" w:space="0" w:color="auto"/>
                    <w:right w:val="none" w:sz="0" w:space="0" w:color="auto"/>
                  </w:divBdr>
                  <w:divsChild>
                    <w:div w:id="603997980">
                      <w:marLeft w:val="0"/>
                      <w:marRight w:val="0"/>
                      <w:marTop w:val="0"/>
                      <w:marBottom w:val="0"/>
                      <w:divBdr>
                        <w:top w:val="none" w:sz="0" w:space="0" w:color="auto"/>
                        <w:left w:val="none" w:sz="0" w:space="0" w:color="auto"/>
                        <w:bottom w:val="none" w:sz="0" w:space="0" w:color="auto"/>
                        <w:right w:val="none" w:sz="0" w:space="0" w:color="auto"/>
                      </w:divBdr>
                    </w:div>
                  </w:divsChild>
                </w:div>
                <w:div w:id="238835354">
                  <w:marLeft w:val="0"/>
                  <w:marRight w:val="0"/>
                  <w:marTop w:val="0"/>
                  <w:marBottom w:val="0"/>
                  <w:divBdr>
                    <w:top w:val="none" w:sz="0" w:space="0" w:color="auto"/>
                    <w:left w:val="none" w:sz="0" w:space="0" w:color="auto"/>
                    <w:bottom w:val="none" w:sz="0" w:space="0" w:color="auto"/>
                    <w:right w:val="none" w:sz="0" w:space="0" w:color="auto"/>
                  </w:divBdr>
                  <w:divsChild>
                    <w:div w:id="350841537">
                      <w:marLeft w:val="0"/>
                      <w:marRight w:val="0"/>
                      <w:marTop w:val="0"/>
                      <w:marBottom w:val="0"/>
                      <w:divBdr>
                        <w:top w:val="none" w:sz="0" w:space="0" w:color="auto"/>
                        <w:left w:val="none" w:sz="0" w:space="0" w:color="auto"/>
                        <w:bottom w:val="none" w:sz="0" w:space="0" w:color="auto"/>
                        <w:right w:val="none" w:sz="0" w:space="0" w:color="auto"/>
                      </w:divBdr>
                    </w:div>
                  </w:divsChild>
                </w:div>
                <w:div w:id="249430190">
                  <w:marLeft w:val="0"/>
                  <w:marRight w:val="0"/>
                  <w:marTop w:val="0"/>
                  <w:marBottom w:val="0"/>
                  <w:divBdr>
                    <w:top w:val="none" w:sz="0" w:space="0" w:color="auto"/>
                    <w:left w:val="none" w:sz="0" w:space="0" w:color="auto"/>
                    <w:bottom w:val="none" w:sz="0" w:space="0" w:color="auto"/>
                    <w:right w:val="none" w:sz="0" w:space="0" w:color="auto"/>
                  </w:divBdr>
                  <w:divsChild>
                    <w:div w:id="746414320">
                      <w:marLeft w:val="0"/>
                      <w:marRight w:val="0"/>
                      <w:marTop w:val="0"/>
                      <w:marBottom w:val="0"/>
                      <w:divBdr>
                        <w:top w:val="none" w:sz="0" w:space="0" w:color="auto"/>
                        <w:left w:val="none" w:sz="0" w:space="0" w:color="auto"/>
                        <w:bottom w:val="none" w:sz="0" w:space="0" w:color="auto"/>
                        <w:right w:val="none" w:sz="0" w:space="0" w:color="auto"/>
                      </w:divBdr>
                    </w:div>
                  </w:divsChild>
                </w:div>
                <w:div w:id="265694912">
                  <w:marLeft w:val="0"/>
                  <w:marRight w:val="0"/>
                  <w:marTop w:val="0"/>
                  <w:marBottom w:val="0"/>
                  <w:divBdr>
                    <w:top w:val="none" w:sz="0" w:space="0" w:color="auto"/>
                    <w:left w:val="none" w:sz="0" w:space="0" w:color="auto"/>
                    <w:bottom w:val="none" w:sz="0" w:space="0" w:color="auto"/>
                    <w:right w:val="none" w:sz="0" w:space="0" w:color="auto"/>
                  </w:divBdr>
                  <w:divsChild>
                    <w:div w:id="1459567881">
                      <w:marLeft w:val="0"/>
                      <w:marRight w:val="0"/>
                      <w:marTop w:val="0"/>
                      <w:marBottom w:val="0"/>
                      <w:divBdr>
                        <w:top w:val="none" w:sz="0" w:space="0" w:color="auto"/>
                        <w:left w:val="none" w:sz="0" w:space="0" w:color="auto"/>
                        <w:bottom w:val="none" w:sz="0" w:space="0" w:color="auto"/>
                        <w:right w:val="none" w:sz="0" w:space="0" w:color="auto"/>
                      </w:divBdr>
                    </w:div>
                  </w:divsChild>
                </w:div>
                <w:div w:id="284580886">
                  <w:marLeft w:val="0"/>
                  <w:marRight w:val="0"/>
                  <w:marTop w:val="0"/>
                  <w:marBottom w:val="0"/>
                  <w:divBdr>
                    <w:top w:val="none" w:sz="0" w:space="0" w:color="auto"/>
                    <w:left w:val="none" w:sz="0" w:space="0" w:color="auto"/>
                    <w:bottom w:val="none" w:sz="0" w:space="0" w:color="auto"/>
                    <w:right w:val="none" w:sz="0" w:space="0" w:color="auto"/>
                  </w:divBdr>
                  <w:divsChild>
                    <w:div w:id="923565612">
                      <w:marLeft w:val="0"/>
                      <w:marRight w:val="0"/>
                      <w:marTop w:val="0"/>
                      <w:marBottom w:val="0"/>
                      <w:divBdr>
                        <w:top w:val="none" w:sz="0" w:space="0" w:color="auto"/>
                        <w:left w:val="none" w:sz="0" w:space="0" w:color="auto"/>
                        <w:bottom w:val="none" w:sz="0" w:space="0" w:color="auto"/>
                        <w:right w:val="none" w:sz="0" w:space="0" w:color="auto"/>
                      </w:divBdr>
                    </w:div>
                  </w:divsChild>
                </w:div>
                <w:div w:id="300497272">
                  <w:marLeft w:val="0"/>
                  <w:marRight w:val="0"/>
                  <w:marTop w:val="0"/>
                  <w:marBottom w:val="0"/>
                  <w:divBdr>
                    <w:top w:val="none" w:sz="0" w:space="0" w:color="auto"/>
                    <w:left w:val="none" w:sz="0" w:space="0" w:color="auto"/>
                    <w:bottom w:val="none" w:sz="0" w:space="0" w:color="auto"/>
                    <w:right w:val="none" w:sz="0" w:space="0" w:color="auto"/>
                  </w:divBdr>
                  <w:divsChild>
                    <w:div w:id="1740636537">
                      <w:marLeft w:val="0"/>
                      <w:marRight w:val="0"/>
                      <w:marTop w:val="0"/>
                      <w:marBottom w:val="0"/>
                      <w:divBdr>
                        <w:top w:val="none" w:sz="0" w:space="0" w:color="auto"/>
                        <w:left w:val="none" w:sz="0" w:space="0" w:color="auto"/>
                        <w:bottom w:val="none" w:sz="0" w:space="0" w:color="auto"/>
                        <w:right w:val="none" w:sz="0" w:space="0" w:color="auto"/>
                      </w:divBdr>
                    </w:div>
                  </w:divsChild>
                </w:div>
                <w:div w:id="363332758">
                  <w:marLeft w:val="0"/>
                  <w:marRight w:val="0"/>
                  <w:marTop w:val="0"/>
                  <w:marBottom w:val="0"/>
                  <w:divBdr>
                    <w:top w:val="none" w:sz="0" w:space="0" w:color="auto"/>
                    <w:left w:val="none" w:sz="0" w:space="0" w:color="auto"/>
                    <w:bottom w:val="none" w:sz="0" w:space="0" w:color="auto"/>
                    <w:right w:val="none" w:sz="0" w:space="0" w:color="auto"/>
                  </w:divBdr>
                  <w:divsChild>
                    <w:div w:id="24331823">
                      <w:marLeft w:val="0"/>
                      <w:marRight w:val="0"/>
                      <w:marTop w:val="0"/>
                      <w:marBottom w:val="0"/>
                      <w:divBdr>
                        <w:top w:val="none" w:sz="0" w:space="0" w:color="auto"/>
                        <w:left w:val="none" w:sz="0" w:space="0" w:color="auto"/>
                        <w:bottom w:val="none" w:sz="0" w:space="0" w:color="auto"/>
                        <w:right w:val="none" w:sz="0" w:space="0" w:color="auto"/>
                      </w:divBdr>
                    </w:div>
                  </w:divsChild>
                </w:div>
                <w:div w:id="371926689">
                  <w:marLeft w:val="0"/>
                  <w:marRight w:val="0"/>
                  <w:marTop w:val="0"/>
                  <w:marBottom w:val="0"/>
                  <w:divBdr>
                    <w:top w:val="none" w:sz="0" w:space="0" w:color="auto"/>
                    <w:left w:val="none" w:sz="0" w:space="0" w:color="auto"/>
                    <w:bottom w:val="none" w:sz="0" w:space="0" w:color="auto"/>
                    <w:right w:val="none" w:sz="0" w:space="0" w:color="auto"/>
                  </w:divBdr>
                  <w:divsChild>
                    <w:div w:id="1732655312">
                      <w:marLeft w:val="0"/>
                      <w:marRight w:val="0"/>
                      <w:marTop w:val="0"/>
                      <w:marBottom w:val="0"/>
                      <w:divBdr>
                        <w:top w:val="none" w:sz="0" w:space="0" w:color="auto"/>
                        <w:left w:val="none" w:sz="0" w:space="0" w:color="auto"/>
                        <w:bottom w:val="none" w:sz="0" w:space="0" w:color="auto"/>
                        <w:right w:val="none" w:sz="0" w:space="0" w:color="auto"/>
                      </w:divBdr>
                    </w:div>
                  </w:divsChild>
                </w:div>
                <w:div w:id="384985810">
                  <w:marLeft w:val="0"/>
                  <w:marRight w:val="0"/>
                  <w:marTop w:val="0"/>
                  <w:marBottom w:val="0"/>
                  <w:divBdr>
                    <w:top w:val="none" w:sz="0" w:space="0" w:color="auto"/>
                    <w:left w:val="none" w:sz="0" w:space="0" w:color="auto"/>
                    <w:bottom w:val="none" w:sz="0" w:space="0" w:color="auto"/>
                    <w:right w:val="none" w:sz="0" w:space="0" w:color="auto"/>
                  </w:divBdr>
                  <w:divsChild>
                    <w:div w:id="1293515582">
                      <w:marLeft w:val="0"/>
                      <w:marRight w:val="0"/>
                      <w:marTop w:val="0"/>
                      <w:marBottom w:val="0"/>
                      <w:divBdr>
                        <w:top w:val="none" w:sz="0" w:space="0" w:color="auto"/>
                        <w:left w:val="none" w:sz="0" w:space="0" w:color="auto"/>
                        <w:bottom w:val="none" w:sz="0" w:space="0" w:color="auto"/>
                        <w:right w:val="none" w:sz="0" w:space="0" w:color="auto"/>
                      </w:divBdr>
                    </w:div>
                  </w:divsChild>
                </w:div>
                <w:div w:id="405961947">
                  <w:marLeft w:val="0"/>
                  <w:marRight w:val="0"/>
                  <w:marTop w:val="0"/>
                  <w:marBottom w:val="0"/>
                  <w:divBdr>
                    <w:top w:val="none" w:sz="0" w:space="0" w:color="auto"/>
                    <w:left w:val="none" w:sz="0" w:space="0" w:color="auto"/>
                    <w:bottom w:val="none" w:sz="0" w:space="0" w:color="auto"/>
                    <w:right w:val="none" w:sz="0" w:space="0" w:color="auto"/>
                  </w:divBdr>
                  <w:divsChild>
                    <w:div w:id="974602485">
                      <w:marLeft w:val="0"/>
                      <w:marRight w:val="0"/>
                      <w:marTop w:val="0"/>
                      <w:marBottom w:val="0"/>
                      <w:divBdr>
                        <w:top w:val="none" w:sz="0" w:space="0" w:color="auto"/>
                        <w:left w:val="none" w:sz="0" w:space="0" w:color="auto"/>
                        <w:bottom w:val="none" w:sz="0" w:space="0" w:color="auto"/>
                        <w:right w:val="none" w:sz="0" w:space="0" w:color="auto"/>
                      </w:divBdr>
                    </w:div>
                  </w:divsChild>
                </w:div>
                <w:div w:id="414326552">
                  <w:marLeft w:val="0"/>
                  <w:marRight w:val="0"/>
                  <w:marTop w:val="0"/>
                  <w:marBottom w:val="0"/>
                  <w:divBdr>
                    <w:top w:val="none" w:sz="0" w:space="0" w:color="auto"/>
                    <w:left w:val="none" w:sz="0" w:space="0" w:color="auto"/>
                    <w:bottom w:val="none" w:sz="0" w:space="0" w:color="auto"/>
                    <w:right w:val="none" w:sz="0" w:space="0" w:color="auto"/>
                  </w:divBdr>
                  <w:divsChild>
                    <w:div w:id="2127845666">
                      <w:marLeft w:val="0"/>
                      <w:marRight w:val="0"/>
                      <w:marTop w:val="0"/>
                      <w:marBottom w:val="0"/>
                      <w:divBdr>
                        <w:top w:val="none" w:sz="0" w:space="0" w:color="auto"/>
                        <w:left w:val="none" w:sz="0" w:space="0" w:color="auto"/>
                        <w:bottom w:val="none" w:sz="0" w:space="0" w:color="auto"/>
                        <w:right w:val="none" w:sz="0" w:space="0" w:color="auto"/>
                      </w:divBdr>
                    </w:div>
                  </w:divsChild>
                </w:div>
                <w:div w:id="470563893">
                  <w:marLeft w:val="0"/>
                  <w:marRight w:val="0"/>
                  <w:marTop w:val="0"/>
                  <w:marBottom w:val="0"/>
                  <w:divBdr>
                    <w:top w:val="none" w:sz="0" w:space="0" w:color="auto"/>
                    <w:left w:val="none" w:sz="0" w:space="0" w:color="auto"/>
                    <w:bottom w:val="none" w:sz="0" w:space="0" w:color="auto"/>
                    <w:right w:val="none" w:sz="0" w:space="0" w:color="auto"/>
                  </w:divBdr>
                  <w:divsChild>
                    <w:div w:id="853955233">
                      <w:marLeft w:val="0"/>
                      <w:marRight w:val="0"/>
                      <w:marTop w:val="0"/>
                      <w:marBottom w:val="0"/>
                      <w:divBdr>
                        <w:top w:val="none" w:sz="0" w:space="0" w:color="auto"/>
                        <w:left w:val="none" w:sz="0" w:space="0" w:color="auto"/>
                        <w:bottom w:val="none" w:sz="0" w:space="0" w:color="auto"/>
                        <w:right w:val="none" w:sz="0" w:space="0" w:color="auto"/>
                      </w:divBdr>
                    </w:div>
                  </w:divsChild>
                </w:div>
                <w:div w:id="504250334">
                  <w:marLeft w:val="0"/>
                  <w:marRight w:val="0"/>
                  <w:marTop w:val="0"/>
                  <w:marBottom w:val="0"/>
                  <w:divBdr>
                    <w:top w:val="none" w:sz="0" w:space="0" w:color="auto"/>
                    <w:left w:val="none" w:sz="0" w:space="0" w:color="auto"/>
                    <w:bottom w:val="none" w:sz="0" w:space="0" w:color="auto"/>
                    <w:right w:val="none" w:sz="0" w:space="0" w:color="auto"/>
                  </w:divBdr>
                  <w:divsChild>
                    <w:div w:id="416025621">
                      <w:marLeft w:val="0"/>
                      <w:marRight w:val="0"/>
                      <w:marTop w:val="0"/>
                      <w:marBottom w:val="0"/>
                      <w:divBdr>
                        <w:top w:val="none" w:sz="0" w:space="0" w:color="auto"/>
                        <w:left w:val="none" w:sz="0" w:space="0" w:color="auto"/>
                        <w:bottom w:val="none" w:sz="0" w:space="0" w:color="auto"/>
                        <w:right w:val="none" w:sz="0" w:space="0" w:color="auto"/>
                      </w:divBdr>
                    </w:div>
                  </w:divsChild>
                </w:div>
                <w:div w:id="519047683">
                  <w:marLeft w:val="0"/>
                  <w:marRight w:val="0"/>
                  <w:marTop w:val="0"/>
                  <w:marBottom w:val="0"/>
                  <w:divBdr>
                    <w:top w:val="none" w:sz="0" w:space="0" w:color="auto"/>
                    <w:left w:val="none" w:sz="0" w:space="0" w:color="auto"/>
                    <w:bottom w:val="none" w:sz="0" w:space="0" w:color="auto"/>
                    <w:right w:val="none" w:sz="0" w:space="0" w:color="auto"/>
                  </w:divBdr>
                  <w:divsChild>
                    <w:div w:id="2046445427">
                      <w:marLeft w:val="0"/>
                      <w:marRight w:val="0"/>
                      <w:marTop w:val="0"/>
                      <w:marBottom w:val="0"/>
                      <w:divBdr>
                        <w:top w:val="none" w:sz="0" w:space="0" w:color="auto"/>
                        <w:left w:val="none" w:sz="0" w:space="0" w:color="auto"/>
                        <w:bottom w:val="none" w:sz="0" w:space="0" w:color="auto"/>
                        <w:right w:val="none" w:sz="0" w:space="0" w:color="auto"/>
                      </w:divBdr>
                    </w:div>
                  </w:divsChild>
                </w:div>
                <w:div w:id="533735918">
                  <w:marLeft w:val="0"/>
                  <w:marRight w:val="0"/>
                  <w:marTop w:val="0"/>
                  <w:marBottom w:val="0"/>
                  <w:divBdr>
                    <w:top w:val="none" w:sz="0" w:space="0" w:color="auto"/>
                    <w:left w:val="none" w:sz="0" w:space="0" w:color="auto"/>
                    <w:bottom w:val="none" w:sz="0" w:space="0" w:color="auto"/>
                    <w:right w:val="none" w:sz="0" w:space="0" w:color="auto"/>
                  </w:divBdr>
                  <w:divsChild>
                    <w:div w:id="1618412862">
                      <w:marLeft w:val="0"/>
                      <w:marRight w:val="0"/>
                      <w:marTop w:val="0"/>
                      <w:marBottom w:val="0"/>
                      <w:divBdr>
                        <w:top w:val="none" w:sz="0" w:space="0" w:color="auto"/>
                        <w:left w:val="none" w:sz="0" w:space="0" w:color="auto"/>
                        <w:bottom w:val="none" w:sz="0" w:space="0" w:color="auto"/>
                        <w:right w:val="none" w:sz="0" w:space="0" w:color="auto"/>
                      </w:divBdr>
                    </w:div>
                  </w:divsChild>
                </w:div>
                <w:div w:id="538011167">
                  <w:marLeft w:val="0"/>
                  <w:marRight w:val="0"/>
                  <w:marTop w:val="0"/>
                  <w:marBottom w:val="0"/>
                  <w:divBdr>
                    <w:top w:val="none" w:sz="0" w:space="0" w:color="auto"/>
                    <w:left w:val="none" w:sz="0" w:space="0" w:color="auto"/>
                    <w:bottom w:val="none" w:sz="0" w:space="0" w:color="auto"/>
                    <w:right w:val="none" w:sz="0" w:space="0" w:color="auto"/>
                  </w:divBdr>
                  <w:divsChild>
                    <w:div w:id="1303804087">
                      <w:marLeft w:val="0"/>
                      <w:marRight w:val="0"/>
                      <w:marTop w:val="0"/>
                      <w:marBottom w:val="0"/>
                      <w:divBdr>
                        <w:top w:val="none" w:sz="0" w:space="0" w:color="auto"/>
                        <w:left w:val="none" w:sz="0" w:space="0" w:color="auto"/>
                        <w:bottom w:val="none" w:sz="0" w:space="0" w:color="auto"/>
                        <w:right w:val="none" w:sz="0" w:space="0" w:color="auto"/>
                      </w:divBdr>
                    </w:div>
                  </w:divsChild>
                </w:div>
                <w:div w:id="546184662">
                  <w:marLeft w:val="0"/>
                  <w:marRight w:val="0"/>
                  <w:marTop w:val="0"/>
                  <w:marBottom w:val="0"/>
                  <w:divBdr>
                    <w:top w:val="none" w:sz="0" w:space="0" w:color="auto"/>
                    <w:left w:val="none" w:sz="0" w:space="0" w:color="auto"/>
                    <w:bottom w:val="none" w:sz="0" w:space="0" w:color="auto"/>
                    <w:right w:val="none" w:sz="0" w:space="0" w:color="auto"/>
                  </w:divBdr>
                  <w:divsChild>
                    <w:div w:id="1746415864">
                      <w:marLeft w:val="0"/>
                      <w:marRight w:val="0"/>
                      <w:marTop w:val="0"/>
                      <w:marBottom w:val="0"/>
                      <w:divBdr>
                        <w:top w:val="none" w:sz="0" w:space="0" w:color="auto"/>
                        <w:left w:val="none" w:sz="0" w:space="0" w:color="auto"/>
                        <w:bottom w:val="none" w:sz="0" w:space="0" w:color="auto"/>
                        <w:right w:val="none" w:sz="0" w:space="0" w:color="auto"/>
                      </w:divBdr>
                    </w:div>
                  </w:divsChild>
                </w:div>
                <w:div w:id="554901780">
                  <w:marLeft w:val="0"/>
                  <w:marRight w:val="0"/>
                  <w:marTop w:val="0"/>
                  <w:marBottom w:val="0"/>
                  <w:divBdr>
                    <w:top w:val="none" w:sz="0" w:space="0" w:color="auto"/>
                    <w:left w:val="none" w:sz="0" w:space="0" w:color="auto"/>
                    <w:bottom w:val="none" w:sz="0" w:space="0" w:color="auto"/>
                    <w:right w:val="none" w:sz="0" w:space="0" w:color="auto"/>
                  </w:divBdr>
                  <w:divsChild>
                    <w:div w:id="906721850">
                      <w:marLeft w:val="0"/>
                      <w:marRight w:val="0"/>
                      <w:marTop w:val="0"/>
                      <w:marBottom w:val="0"/>
                      <w:divBdr>
                        <w:top w:val="none" w:sz="0" w:space="0" w:color="auto"/>
                        <w:left w:val="none" w:sz="0" w:space="0" w:color="auto"/>
                        <w:bottom w:val="none" w:sz="0" w:space="0" w:color="auto"/>
                        <w:right w:val="none" w:sz="0" w:space="0" w:color="auto"/>
                      </w:divBdr>
                    </w:div>
                  </w:divsChild>
                </w:div>
                <w:div w:id="574511213">
                  <w:marLeft w:val="0"/>
                  <w:marRight w:val="0"/>
                  <w:marTop w:val="0"/>
                  <w:marBottom w:val="0"/>
                  <w:divBdr>
                    <w:top w:val="none" w:sz="0" w:space="0" w:color="auto"/>
                    <w:left w:val="none" w:sz="0" w:space="0" w:color="auto"/>
                    <w:bottom w:val="none" w:sz="0" w:space="0" w:color="auto"/>
                    <w:right w:val="none" w:sz="0" w:space="0" w:color="auto"/>
                  </w:divBdr>
                  <w:divsChild>
                    <w:div w:id="2052025980">
                      <w:marLeft w:val="0"/>
                      <w:marRight w:val="0"/>
                      <w:marTop w:val="0"/>
                      <w:marBottom w:val="0"/>
                      <w:divBdr>
                        <w:top w:val="none" w:sz="0" w:space="0" w:color="auto"/>
                        <w:left w:val="none" w:sz="0" w:space="0" w:color="auto"/>
                        <w:bottom w:val="none" w:sz="0" w:space="0" w:color="auto"/>
                        <w:right w:val="none" w:sz="0" w:space="0" w:color="auto"/>
                      </w:divBdr>
                    </w:div>
                  </w:divsChild>
                </w:div>
                <w:div w:id="652028119">
                  <w:marLeft w:val="0"/>
                  <w:marRight w:val="0"/>
                  <w:marTop w:val="0"/>
                  <w:marBottom w:val="0"/>
                  <w:divBdr>
                    <w:top w:val="none" w:sz="0" w:space="0" w:color="auto"/>
                    <w:left w:val="none" w:sz="0" w:space="0" w:color="auto"/>
                    <w:bottom w:val="none" w:sz="0" w:space="0" w:color="auto"/>
                    <w:right w:val="none" w:sz="0" w:space="0" w:color="auto"/>
                  </w:divBdr>
                  <w:divsChild>
                    <w:div w:id="1138036147">
                      <w:marLeft w:val="0"/>
                      <w:marRight w:val="0"/>
                      <w:marTop w:val="0"/>
                      <w:marBottom w:val="0"/>
                      <w:divBdr>
                        <w:top w:val="none" w:sz="0" w:space="0" w:color="auto"/>
                        <w:left w:val="none" w:sz="0" w:space="0" w:color="auto"/>
                        <w:bottom w:val="none" w:sz="0" w:space="0" w:color="auto"/>
                        <w:right w:val="none" w:sz="0" w:space="0" w:color="auto"/>
                      </w:divBdr>
                    </w:div>
                  </w:divsChild>
                </w:div>
                <w:div w:id="654605027">
                  <w:marLeft w:val="0"/>
                  <w:marRight w:val="0"/>
                  <w:marTop w:val="0"/>
                  <w:marBottom w:val="0"/>
                  <w:divBdr>
                    <w:top w:val="none" w:sz="0" w:space="0" w:color="auto"/>
                    <w:left w:val="none" w:sz="0" w:space="0" w:color="auto"/>
                    <w:bottom w:val="none" w:sz="0" w:space="0" w:color="auto"/>
                    <w:right w:val="none" w:sz="0" w:space="0" w:color="auto"/>
                  </w:divBdr>
                  <w:divsChild>
                    <w:div w:id="1695645139">
                      <w:marLeft w:val="0"/>
                      <w:marRight w:val="0"/>
                      <w:marTop w:val="0"/>
                      <w:marBottom w:val="0"/>
                      <w:divBdr>
                        <w:top w:val="none" w:sz="0" w:space="0" w:color="auto"/>
                        <w:left w:val="none" w:sz="0" w:space="0" w:color="auto"/>
                        <w:bottom w:val="none" w:sz="0" w:space="0" w:color="auto"/>
                        <w:right w:val="none" w:sz="0" w:space="0" w:color="auto"/>
                      </w:divBdr>
                    </w:div>
                  </w:divsChild>
                </w:div>
                <w:div w:id="672488182">
                  <w:marLeft w:val="0"/>
                  <w:marRight w:val="0"/>
                  <w:marTop w:val="0"/>
                  <w:marBottom w:val="0"/>
                  <w:divBdr>
                    <w:top w:val="none" w:sz="0" w:space="0" w:color="auto"/>
                    <w:left w:val="none" w:sz="0" w:space="0" w:color="auto"/>
                    <w:bottom w:val="none" w:sz="0" w:space="0" w:color="auto"/>
                    <w:right w:val="none" w:sz="0" w:space="0" w:color="auto"/>
                  </w:divBdr>
                  <w:divsChild>
                    <w:div w:id="1910266183">
                      <w:marLeft w:val="0"/>
                      <w:marRight w:val="0"/>
                      <w:marTop w:val="0"/>
                      <w:marBottom w:val="0"/>
                      <w:divBdr>
                        <w:top w:val="none" w:sz="0" w:space="0" w:color="auto"/>
                        <w:left w:val="none" w:sz="0" w:space="0" w:color="auto"/>
                        <w:bottom w:val="none" w:sz="0" w:space="0" w:color="auto"/>
                        <w:right w:val="none" w:sz="0" w:space="0" w:color="auto"/>
                      </w:divBdr>
                    </w:div>
                  </w:divsChild>
                </w:div>
                <w:div w:id="673076042">
                  <w:marLeft w:val="0"/>
                  <w:marRight w:val="0"/>
                  <w:marTop w:val="0"/>
                  <w:marBottom w:val="0"/>
                  <w:divBdr>
                    <w:top w:val="none" w:sz="0" w:space="0" w:color="auto"/>
                    <w:left w:val="none" w:sz="0" w:space="0" w:color="auto"/>
                    <w:bottom w:val="none" w:sz="0" w:space="0" w:color="auto"/>
                    <w:right w:val="none" w:sz="0" w:space="0" w:color="auto"/>
                  </w:divBdr>
                  <w:divsChild>
                    <w:div w:id="1375808156">
                      <w:marLeft w:val="0"/>
                      <w:marRight w:val="0"/>
                      <w:marTop w:val="0"/>
                      <w:marBottom w:val="0"/>
                      <w:divBdr>
                        <w:top w:val="none" w:sz="0" w:space="0" w:color="auto"/>
                        <w:left w:val="none" w:sz="0" w:space="0" w:color="auto"/>
                        <w:bottom w:val="none" w:sz="0" w:space="0" w:color="auto"/>
                        <w:right w:val="none" w:sz="0" w:space="0" w:color="auto"/>
                      </w:divBdr>
                    </w:div>
                  </w:divsChild>
                </w:div>
                <w:div w:id="707803017">
                  <w:marLeft w:val="0"/>
                  <w:marRight w:val="0"/>
                  <w:marTop w:val="0"/>
                  <w:marBottom w:val="0"/>
                  <w:divBdr>
                    <w:top w:val="none" w:sz="0" w:space="0" w:color="auto"/>
                    <w:left w:val="none" w:sz="0" w:space="0" w:color="auto"/>
                    <w:bottom w:val="none" w:sz="0" w:space="0" w:color="auto"/>
                    <w:right w:val="none" w:sz="0" w:space="0" w:color="auto"/>
                  </w:divBdr>
                  <w:divsChild>
                    <w:div w:id="50271705">
                      <w:marLeft w:val="0"/>
                      <w:marRight w:val="0"/>
                      <w:marTop w:val="0"/>
                      <w:marBottom w:val="0"/>
                      <w:divBdr>
                        <w:top w:val="none" w:sz="0" w:space="0" w:color="auto"/>
                        <w:left w:val="none" w:sz="0" w:space="0" w:color="auto"/>
                        <w:bottom w:val="none" w:sz="0" w:space="0" w:color="auto"/>
                        <w:right w:val="none" w:sz="0" w:space="0" w:color="auto"/>
                      </w:divBdr>
                    </w:div>
                  </w:divsChild>
                </w:div>
                <w:div w:id="745418209">
                  <w:marLeft w:val="0"/>
                  <w:marRight w:val="0"/>
                  <w:marTop w:val="0"/>
                  <w:marBottom w:val="0"/>
                  <w:divBdr>
                    <w:top w:val="none" w:sz="0" w:space="0" w:color="auto"/>
                    <w:left w:val="none" w:sz="0" w:space="0" w:color="auto"/>
                    <w:bottom w:val="none" w:sz="0" w:space="0" w:color="auto"/>
                    <w:right w:val="none" w:sz="0" w:space="0" w:color="auto"/>
                  </w:divBdr>
                  <w:divsChild>
                    <w:div w:id="2127498475">
                      <w:marLeft w:val="0"/>
                      <w:marRight w:val="0"/>
                      <w:marTop w:val="0"/>
                      <w:marBottom w:val="0"/>
                      <w:divBdr>
                        <w:top w:val="none" w:sz="0" w:space="0" w:color="auto"/>
                        <w:left w:val="none" w:sz="0" w:space="0" w:color="auto"/>
                        <w:bottom w:val="none" w:sz="0" w:space="0" w:color="auto"/>
                        <w:right w:val="none" w:sz="0" w:space="0" w:color="auto"/>
                      </w:divBdr>
                    </w:div>
                  </w:divsChild>
                </w:div>
                <w:div w:id="746416404">
                  <w:marLeft w:val="0"/>
                  <w:marRight w:val="0"/>
                  <w:marTop w:val="0"/>
                  <w:marBottom w:val="0"/>
                  <w:divBdr>
                    <w:top w:val="none" w:sz="0" w:space="0" w:color="auto"/>
                    <w:left w:val="none" w:sz="0" w:space="0" w:color="auto"/>
                    <w:bottom w:val="none" w:sz="0" w:space="0" w:color="auto"/>
                    <w:right w:val="none" w:sz="0" w:space="0" w:color="auto"/>
                  </w:divBdr>
                  <w:divsChild>
                    <w:div w:id="2051763746">
                      <w:marLeft w:val="0"/>
                      <w:marRight w:val="0"/>
                      <w:marTop w:val="0"/>
                      <w:marBottom w:val="0"/>
                      <w:divBdr>
                        <w:top w:val="none" w:sz="0" w:space="0" w:color="auto"/>
                        <w:left w:val="none" w:sz="0" w:space="0" w:color="auto"/>
                        <w:bottom w:val="none" w:sz="0" w:space="0" w:color="auto"/>
                        <w:right w:val="none" w:sz="0" w:space="0" w:color="auto"/>
                      </w:divBdr>
                    </w:div>
                  </w:divsChild>
                </w:div>
                <w:div w:id="760175084">
                  <w:marLeft w:val="0"/>
                  <w:marRight w:val="0"/>
                  <w:marTop w:val="0"/>
                  <w:marBottom w:val="0"/>
                  <w:divBdr>
                    <w:top w:val="none" w:sz="0" w:space="0" w:color="auto"/>
                    <w:left w:val="none" w:sz="0" w:space="0" w:color="auto"/>
                    <w:bottom w:val="none" w:sz="0" w:space="0" w:color="auto"/>
                    <w:right w:val="none" w:sz="0" w:space="0" w:color="auto"/>
                  </w:divBdr>
                  <w:divsChild>
                    <w:div w:id="872183547">
                      <w:marLeft w:val="0"/>
                      <w:marRight w:val="0"/>
                      <w:marTop w:val="0"/>
                      <w:marBottom w:val="0"/>
                      <w:divBdr>
                        <w:top w:val="none" w:sz="0" w:space="0" w:color="auto"/>
                        <w:left w:val="none" w:sz="0" w:space="0" w:color="auto"/>
                        <w:bottom w:val="none" w:sz="0" w:space="0" w:color="auto"/>
                        <w:right w:val="none" w:sz="0" w:space="0" w:color="auto"/>
                      </w:divBdr>
                    </w:div>
                  </w:divsChild>
                </w:div>
                <w:div w:id="774441962">
                  <w:marLeft w:val="0"/>
                  <w:marRight w:val="0"/>
                  <w:marTop w:val="0"/>
                  <w:marBottom w:val="0"/>
                  <w:divBdr>
                    <w:top w:val="none" w:sz="0" w:space="0" w:color="auto"/>
                    <w:left w:val="none" w:sz="0" w:space="0" w:color="auto"/>
                    <w:bottom w:val="none" w:sz="0" w:space="0" w:color="auto"/>
                    <w:right w:val="none" w:sz="0" w:space="0" w:color="auto"/>
                  </w:divBdr>
                  <w:divsChild>
                    <w:div w:id="109324329">
                      <w:marLeft w:val="0"/>
                      <w:marRight w:val="0"/>
                      <w:marTop w:val="0"/>
                      <w:marBottom w:val="0"/>
                      <w:divBdr>
                        <w:top w:val="none" w:sz="0" w:space="0" w:color="auto"/>
                        <w:left w:val="none" w:sz="0" w:space="0" w:color="auto"/>
                        <w:bottom w:val="none" w:sz="0" w:space="0" w:color="auto"/>
                        <w:right w:val="none" w:sz="0" w:space="0" w:color="auto"/>
                      </w:divBdr>
                    </w:div>
                  </w:divsChild>
                </w:div>
                <w:div w:id="817840749">
                  <w:marLeft w:val="0"/>
                  <w:marRight w:val="0"/>
                  <w:marTop w:val="0"/>
                  <w:marBottom w:val="0"/>
                  <w:divBdr>
                    <w:top w:val="none" w:sz="0" w:space="0" w:color="auto"/>
                    <w:left w:val="none" w:sz="0" w:space="0" w:color="auto"/>
                    <w:bottom w:val="none" w:sz="0" w:space="0" w:color="auto"/>
                    <w:right w:val="none" w:sz="0" w:space="0" w:color="auto"/>
                  </w:divBdr>
                  <w:divsChild>
                    <w:div w:id="1473061296">
                      <w:marLeft w:val="0"/>
                      <w:marRight w:val="0"/>
                      <w:marTop w:val="0"/>
                      <w:marBottom w:val="0"/>
                      <w:divBdr>
                        <w:top w:val="none" w:sz="0" w:space="0" w:color="auto"/>
                        <w:left w:val="none" w:sz="0" w:space="0" w:color="auto"/>
                        <w:bottom w:val="none" w:sz="0" w:space="0" w:color="auto"/>
                        <w:right w:val="none" w:sz="0" w:space="0" w:color="auto"/>
                      </w:divBdr>
                    </w:div>
                    <w:div w:id="1788888887">
                      <w:marLeft w:val="0"/>
                      <w:marRight w:val="0"/>
                      <w:marTop w:val="0"/>
                      <w:marBottom w:val="0"/>
                      <w:divBdr>
                        <w:top w:val="none" w:sz="0" w:space="0" w:color="auto"/>
                        <w:left w:val="none" w:sz="0" w:space="0" w:color="auto"/>
                        <w:bottom w:val="none" w:sz="0" w:space="0" w:color="auto"/>
                        <w:right w:val="none" w:sz="0" w:space="0" w:color="auto"/>
                      </w:divBdr>
                    </w:div>
                  </w:divsChild>
                </w:div>
                <w:div w:id="881862780">
                  <w:marLeft w:val="0"/>
                  <w:marRight w:val="0"/>
                  <w:marTop w:val="0"/>
                  <w:marBottom w:val="0"/>
                  <w:divBdr>
                    <w:top w:val="none" w:sz="0" w:space="0" w:color="auto"/>
                    <w:left w:val="none" w:sz="0" w:space="0" w:color="auto"/>
                    <w:bottom w:val="none" w:sz="0" w:space="0" w:color="auto"/>
                    <w:right w:val="none" w:sz="0" w:space="0" w:color="auto"/>
                  </w:divBdr>
                  <w:divsChild>
                    <w:div w:id="1387530042">
                      <w:marLeft w:val="0"/>
                      <w:marRight w:val="0"/>
                      <w:marTop w:val="0"/>
                      <w:marBottom w:val="0"/>
                      <w:divBdr>
                        <w:top w:val="none" w:sz="0" w:space="0" w:color="auto"/>
                        <w:left w:val="none" w:sz="0" w:space="0" w:color="auto"/>
                        <w:bottom w:val="none" w:sz="0" w:space="0" w:color="auto"/>
                        <w:right w:val="none" w:sz="0" w:space="0" w:color="auto"/>
                      </w:divBdr>
                    </w:div>
                  </w:divsChild>
                </w:div>
                <w:div w:id="894585267">
                  <w:marLeft w:val="0"/>
                  <w:marRight w:val="0"/>
                  <w:marTop w:val="0"/>
                  <w:marBottom w:val="0"/>
                  <w:divBdr>
                    <w:top w:val="none" w:sz="0" w:space="0" w:color="auto"/>
                    <w:left w:val="none" w:sz="0" w:space="0" w:color="auto"/>
                    <w:bottom w:val="none" w:sz="0" w:space="0" w:color="auto"/>
                    <w:right w:val="none" w:sz="0" w:space="0" w:color="auto"/>
                  </w:divBdr>
                  <w:divsChild>
                    <w:div w:id="1800613442">
                      <w:marLeft w:val="0"/>
                      <w:marRight w:val="0"/>
                      <w:marTop w:val="0"/>
                      <w:marBottom w:val="0"/>
                      <w:divBdr>
                        <w:top w:val="none" w:sz="0" w:space="0" w:color="auto"/>
                        <w:left w:val="none" w:sz="0" w:space="0" w:color="auto"/>
                        <w:bottom w:val="none" w:sz="0" w:space="0" w:color="auto"/>
                        <w:right w:val="none" w:sz="0" w:space="0" w:color="auto"/>
                      </w:divBdr>
                    </w:div>
                  </w:divsChild>
                </w:div>
                <w:div w:id="910962377">
                  <w:marLeft w:val="0"/>
                  <w:marRight w:val="0"/>
                  <w:marTop w:val="0"/>
                  <w:marBottom w:val="0"/>
                  <w:divBdr>
                    <w:top w:val="none" w:sz="0" w:space="0" w:color="auto"/>
                    <w:left w:val="none" w:sz="0" w:space="0" w:color="auto"/>
                    <w:bottom w:val="none" w:sz="0" w:space="0" w:color="auto"/>
                    <w:right w:val="none" w:sz="0" w:space="0" w:color="auto"/>
                  </w:divBdr>
                  <w:divsChild>
                    <w:div w:id="860627688">
                      <w:marLeft w:val="0"/>
                      <w:marRight w:val="0"/>
                      <w:marTop w:val="0"/>
                      <w:marBottom w:val="0"/>
                      <w:divBdr>
                        <w:top w:val="none" w:sz="0" w:space="0" w:color="auto"/>
                        <w:left w:val="none" w:sz="0" w:space="0" w:color="auto"/>
                        <w:bottom w:val="none" w:sz="0" w:space="0" w:color="auto"/>
                        <w:right w:val="none" w:sz="0" w:space="0" w:color="auto"/>
                      </w:divBdr>
                    </w:div>
                  </w:divsChild>
                </w:div>
                <w:div w:id="923031293">
                  <w:marLeft w:val="0"/>
                  <w:marRight w:val="0"/>
                  <w:marTop w:val="0"/>
                  <w:marBottom w:val="0"/>
                  <w:divBdr>
                    <w:top w:val="none" w:sz="0" w:space="0" w:color="auto"/>
                    <w:left w:val="none" w:sz="0" w:space="0" w:color="auto"/>
                    <w:bottom w:val="none" w:sz="0" w:space="0" w:color="auto"/>
                    <w:right w:val="none" w:sz="0" w:space="0" w:color="auto"/>
                  </w:divBdr>
                  <w:divsChild>
                    <w:div w:id="1312102093">
                      <w:marLeft w:val="0"/>
                      <w:marRight w:val="0"/>
                      <w:marTop w:val="0"/>
                      <w:marBottom w:val="0"/>
                      <w:divBdr>
                        <w:top w:val="none" w:sz="0" w:space="0" w:color="auto"/>
                        <w:left w:val="none" w:sz="0" w:space="0" w:color="auto"/>
                        <w:bottom w:val="none" w:sz="0" w:space="0" w:color="auto"/>
                        <w:right w:val="none" w:sz="0" w:space="0" w:color="auto"/>
                      </w:divBdr>
                    </w:div>
                  </w:divsChild>
                </w:div>
                <w:div w:id="942685599">
                  <w:marLeft w:val="0"/>
                  <w:marRight w:val="0"/>
                  <w:marTop w:val="0"/>
                  <w:marBottom w:val="0"/>
                  <w:divBdr>
                    <w:top w:val="none" w:sz="0" w:space="0" w:color="auto"/>
                    <w:left w:val="none" w:sz="0" w:space="0" w:color="auto"/>
                    <w:bottom w:val="none" w:sz="0" w:space="0" w:color="auto"/>
                    <w:right w:val="none" w:sz="0" w:space="0" w:color="auto"/>
                  </w:divBdr>
                  <w:divsChild>
                    <w:div w:id="332683585">
                      <w:marLeft w:val="0"/>
                      <w:marRight w:val="0"/>
                      <w:marTop w:val="0"/>
                      <w:marBottom w:val="0"/>
                      <w:divBdr>
                        <w:top w:val="none" w:sz="0" w:space="0" w:color="auto"/>
                        <w:left w:val="none" w:sz="0" w:space="0" w:color="auto"/>
                        <w:bottom w:val="none" w:sz="0" w:space="0" w:color="auto"/>
                        <w:right w:val="none" w:sz="0" w:space="0" w:color="auto"/>
                      </w:divBdr>
                    </w:div>
                  </w:divsChild>
                </w:div>
                <w:div w:id="945112016">
                  <w:marLeft w:val="0"/>
                  <w:marRight w:val="0"/>
                  <w:marTop w:val="0"/>
                  <w:marBottom w:val="0"/>
                  <w:divBdr>
                    <w:top w:val="none" w:sz="0" w:space="0" w:color="auto"/>
                    <w:left w:val="none" w:sz="0" w:space="0" w:color="auto"/>
                    <w:bottom w:val="none" w:sz="0" w:space="0" w:color="auto"/>
                    <w:right w:val="none" w:sz="0" w:space="0" w:color="auto"/>
                  </w:divBdr>
                  <w:divsChild>
                    <w:div w:id="410472855">
                      <w:marLeft w:val="0"/>
                      <w:marRight w:val="0"/>
                      <w:marTop w:val="0"/>
                      <w:marBottom w:val="0"/>
                      <w:divBdr>
                        <w:top w:val="none" w:sz="0" w:space="0" w:color="auto"/>
                        <w:left w:val="none" w:sz="0" w:space="0" w:color="auto"/>
                        <w:bottom w:val="none" w:sz="0" w:space="0" w:color="auto"/>
                        <w:right w:val="none" w:sz="0" w:space="0" w:color="auto"/>
                      </w:divBdr>
                    </w:div>
                  </w:divsChild>
                </w:div>
                <w:div w:id="948271709">
                  <w:marLeft w:val="0"/>
                  <w:marRight w:val="0"/>
                  <w:marTop w:val="0"/>
                  <w:marBottom w:val="0"/>
                  <w:divBdr>
                    <w:top w:val="none" w:sz="0" w:space="0" w:color="auto"/>
                    <w:left w:val="none" w:sz="0" w:space="0" w:color="auto"/>
                    <w:bottom w:val="none" w:sz="0" w:space="0" w:color="auto"/>
                    <w:right w:val="none" w:sz="0" w:space="0" w:color="auto"/>
                  </w:divBdr>
                  <w:divsChild>
                    <w:div w:id="1406952656">
                      <w:marLeft w:val="0"/>
                      <w:marRight w:val="0"/>
                      <w:marTop w:val="0"/>
                      <w:marBottom w:val="0"/>
                      <w:divBdr>
                        <w:top w:val="none" w:sz="0" w:space="0" w:color="auto"/>
                        <w:left w:val="none" w:sz="0" w:space="0" w:color="auto"/>
                        <w:bottom w:val="none" w:sz="0" w:space="0" w:color="auto"/>
                        <w:right w:val="none" w:sz="0" w:space="0" w:color="auto"/>
                      </w:divBdr>
                    </w:div>
                  </w:divsChild>
                </w:div>
                <w:div w:id="952129148">
                  <w:marLeft w:val="0"/>
                  <w:marRight w:val="0"/>
                  <w:marTop w:val="0"/>
                  <w:marBottom w:val="0"/>
                  <w:divBdr>
                    <w:top w:val="none" w:sz="0" w:space="0" w:color="auto"/>
                    <w:left w:val="none" w:sz="0" w:space="0" w:color="auto"/>
                    <w:bottom w:val="none" w:sz="0" w:space="0" w:color="auto"/>
                    <w:right w:val="none" w:sz="0" w:space="0" w:color="auto"/>
                  </w:divBdr>
                  <w:divsChild>
                    <w:div w:id="1701779622">
                      <w:marLeft w:val="0"/>
                      <w:marRight w:val="0"/>
                      <w:marTop w:val="0"/>
                      <w:marBottom w:val="0"/>
                      <w:divBdr>
                        <w:top w:val="none" w:sz="0" w:space="0" w:color="auto"/>
                        <w:left w:val="none" w:sz="0" w:space="0" w:color="auto"/>
                        <w:bottom w:val="none" w:sz="0" w:space="0" w:color="auto"/>
                        <w:right w:val="none" w:sz="0" w:space="0" w:color="auto"/>
                      </w:divBdr>
                    </w:div>
                  </w:divsChild>
                </w:div>
                <w:div w:id="956765177">
                  <w:marLeft w:val="0"/>
                  <w:marRight w:val="0"/>
                  <w:marTop w:val="0"/>
                  <w:marBottom w:val="0"/>
                  <w:divBdr>
                    <w:top w:val="none" w:sz="0" w:space="0" w:color="auto"/>
                    <w:left w:val="none" w:sz="0" w:space="0" w:color="auto"/>
                    <w:bottom w:val="none" w:sz="0" w:space="0" w:color="auto"/>
                    <w:right w:val="none" w:sz="0" w:space="0" w:color="auto"/>
                  </w:divBdr>
                  <w:divsChild>
                    <w:div w:id="371346962">
                      <w:marLeft w:val="0"/>
                      <w:marRight w:val="0"/>
                      <w:marTop w:val="0"/>
                      <w:marBottom w:val="0"/>
                      <w:divBdr>
                        <w:top w:val="none" w:sz="0" w:space="0" w:color="auto"/>
                        <w:left w:val="none" w:sz="0" w:space="0" w:color="auto"/>
                        <w:bottom w:val="none" w:sz="0" w:space="0" w:color="auto"/>
                        <w:right w:val="none" w:sz="0" w:space="0" w:color="auto"/>
                      </w:divBdr>
                    </w:div>
                  </w:divsChild>
                </w:div>
                <w:div w:id="957250920">
                  <w:marLeft w:val="0"/>
                  <w:marRight w:val="0"/>
                  <w:marTop w:val="0"/>
                  <w:marBottom w:val="0"/>
                  <w:divBdr>
                    <w:top w:val="none" w:sz="0" w:space="0" w:color="auto"/>
                    <w:left w:val="none" w:sz="0" w:space="0" w:color="auto"/>
                    <w:bottom w:val="none" w:sz="0" w:space="0" w:color="auto"/>
                    <w:right w:val="none" w:sz="0" w:space="0" w:color="auto"/>
                  </w:divBdr>
                </w:div>
                <w:div w:id="997881778">
                  <w:marLeft w:val="0"/>
                  <w:marRight w:val="0"/>
                  <w:marTop w:val="0"/>
                  <w:marBottom w:val="0"/>
                  <w:divBdr>
                    <w:top w:val="none" w:sz="0" w:space="0" w:color="auto"/>
                    <w:left w:val="none" w:sz="0" w:space="0" w:color="auto"/>
                    <w:bottom w:val="none" w:sz="0" w:space="0" w:color="auto"/>
                    <w:right w:val="none" w:sz="0" w:space="0" w:color="auto"/>
                  </w:divBdr>
                  <w:divsChild>
                    <w:div w:id="770318546">
                      <w:marLeft w:val="0"/>
                      <w:marRight w:val="0"/>
                      <w:marTop w:val="0"/>
                      <w:marBottom w:val="0"/>
                      <w:divBdr>
                        <w:top w:val="none" w:sz="0" w:space="0" w:color="auto"/>
                        <w:left w:val="none" w:sz="0" w:space="0" w:color="auto"/>
                        <w:bottom w:val="none" w:sz="0" w:space="0" w:color="auto"/>
                        <w:right w:val="none" w:sz="0" w:space="0" w:color="auto"/>
                      </w:divBdr>
                    </w:div>
                  </w:divsChild>
                </w:div>
                <w:div w:id="1049036826">
                  <w:marLeft w:val="0"/>
                  <w:marRight w:val="0"/>
                  <w:marTop w:val="0"/>
                  <w:marBottom w:val="0"/>
                  <w:divBdr>
                    <w:top w:val="none" w:sz="0" w:space="0" w:color="auto"/>
                    <w:left w:val="none" w:sz="0" w:space="0" w:color="auto"/>
                    <w:bottom w:val="none" w:sz="0" w:space="0" w:color="auto"/>
                    <w:right w:val="none" w:sz="0" w:space="0" w:color="auto"/>
                  </w:divBdr>
                </w:div>
                <w:div w:id="1049570040">
                  <w:marLeft w:val="0"/>
                  <w:marRight w:val="0"/>
                  <w:marTop w:val="0"/>
                  <w:marBottom w:val="0"/>
                  <w:divBdr>
                    <w:top w:val="none" w:sz="0" w:space="0" w:color="auto"/>
                    <w:left w:val="none" w:sz="0" w:space="0" w:color="auto"/>
                    <w:bottom w:val="none" w:sz="0" w:space="0" w:color="auto"/>
                    <w:right w:val="none" w:sz="0" w:space="0" w:color="auto"/>
                  </w:divBdr>
                  <w:divsChild>
                    <w:div w:id="1490368237">
                      <w:marLeft w:val="0"/>
                      <w:marRight w:val="0"/>
                      <w:marTop w:val="0"/>
                      <w:marBottom w:val="0"/>
                      <w:divBdr>
                        <w:top w:val="none" w:sz="0" w:space="0" w:color="auto"/>
                        <w:left w:val="none" w:sz="0" w:space="0" w:color="auto"/>
                        <w:bottom w:val="none" w:sz="0" w:space="0" w:color="auto"/>
                        <w:right w:val="none" w:sz="0" w:space="0" w:color="auto"/>
                      </w:divBdr>
                    </w:div>
                  </w:divsChild>
                </w:div>
                <w:div w:id="1051537238">
                  <w:marLeft w:val="0"/>
                  <w:marRight w:val="0"/>
                  <w:marTop w:val="0"/>
                  <w:marBottom w:val="0"/>
                  <w:divBdr>
                    <w:top w:val="none" w:sz="0" w:space="0" w:color="auto"/>
                    <w:left w:val="none" w:sz="0" w:space="0" w:color="auto"/>
                    <w:bottom w:val="none" w:sz="0" w:space="0" w:color="auto"/>
                    <w:right w:val="none" w:sz="0" w:space="0" w:color="auto"/>
                  </w:divBdr>
                  <w:divsChild>
                    <w:div w:id="1261259493">
                      <w:marLeft w:val="0"/>
                      <w:marRight w:val="0"/>
                      <w:marTop w:val="0"/>
                      <w:marBottom w:val="0"/>
                      <w:divBdr>
                        <w:top w:val="none" w:sz="0" w:space="0" w:color="auto"/>
                        <w:left w:val="none" w:sz="0" w:space="0" w:color="auto"/>
                        <w:bottom w:val="none" w:sz="0" w:space="0" w:color="auto"/>
                        <w:right w:val="none" w:sz="0" w:space="0" w:color="auto"/>
                      </w:divBdr>
                    </w:div>
                  </w:divsChild>
                </w:div>
                <w:div w:id="1055816793">
                  <w:marLeft w:val="0"/>
                  <w:marRight w:val="0"/>
                  <w:marTop w:val="0"/>
                  <w:marBottom w:val="0"/>
                  <w:divBdr>
                    <w:top w:val="none" w:sz="0" w:space="0" w:color="auto"/>
                    <w:left w:val="none" w:sz="0" w:space="0" w:color="auto"/>
                    <w:bottom w:val="none" w:sz="0" w:space="0" w:color="auto"/>
                    <w:right w:val="none" w:sz="0" w:space="0" w:color="auto"/>
                  </w:divBdr>
                  <w:divsChild>
                    <w:div w:id="83654996">
                      <w:marLeft w:val="0"/>
                      <w:marRight w:val="0"/>
                      <w:marTop w:val="0"/>
                      <w:marBottom w:val="0"/>
                      <w:divBdr>
                        <w:top w:val="none" w:sz="0" w:space="0" w:color="auto"/>
                        <w:left w:val="none" w:sz="0" w:space="0" w:color="auto"/>
                        <w:bottom w:val="none" w:sz="0" w:space="0" w:color="auto"/>
                        <w:right w:val="none" w:sz="0" w:space="0" w:color="auto"/>
                      </w:divBdr>
                    </w:div>
                  </w:divsChild>
                </w:div>
                <w:div w:id="1058746231">
                  <w:marLeft w:val="0"/>
                  <w:marRight w:val="0"/>
                  <w:marTop w:val="0"/>
                  <w:marBottom w:val="0"/>
                  <w:divBdr>
                    <w:top w:val="none" w:sz="0" w:space="0" w:color="auto"/>
                    <w:left w:val="none" w:sz="0" w:space="0" w:color="auto"/>
                    <w:bottom w:val="none" w:sz="0" w:space="0" w:color="auto"/>
                    <w:right w:val="none" w:sz="0" w:space="0" w:color="auto"/>
                  </w:divBdr>
                  <w:divsChild>
                    <w:div w:id="879633802">
                      <w:marLeft w:val="0"/>
                      <w:marRight w:val="0"/>
                      <w:marTop w:val="0"/>
                      <w:marBottom w:val="0"/>
                      <w:divBdr>
                        <w:top w:val="none" w:sz="0" w:space="0" w:color="auto"/>
                        <w:left w:val="none" w:sz="0" w:space="0" w:color="auto"/>
                        <w:bottom w:val="none" w:sz="0" w:space="0" w:color="auto"/>
                        <w:right w:val="none" w:sz="0" w:space="0" w:color="auto"/>
                      </w:divBdr>
                    </w:div>
                  </w:divsChild>
                </w:div>
                <w:div w:id="1059481439">
                  <w:marLeft w:val="0"/>
                  <w:marRight w:val="0"/>
                  <w:marTop w:val="0"/>
                  <w:marBottom w:val="0"/>
                  <w:divBdr>
                    <w:top w:val="none" w:sz="0" w:space="0" w:color="auto"/>
                    <w:left w:val="none" w:sz="0" w:space="0" w:color="auto"/>
                    <w:bottom w:val="none" w:sz="0" w:space="0" w:color="auto"/>
                    <w:right w:val="none" w:sz="0" w:space="0" w:color="auto"/>
                  </w:divBdr>
                  <w:divsChild>
                    <w:div w:id="601034975">
                      <w:marLeft w:val="0"/>
                      <w:marRight w:val="0"/>
                      <w:marTop w:val="0"/>
                      <w:marBottom w:val="0"/>
                      <w:divBdr>
                        <w:top w:val="none" w:sz="0" w:space="0" w:color="auto"/>
                        <w:left w:val="none" w:sz="0" w:space="0" w:color="auto"/>
                        <w:bottom w:val="none" w:sz="0" w:space="0" w:color="auto"/>
                        <w:right w:val="none" w:sz="0" w:space="0" w:color="auto"/>
                      </w:divBdr>
                    </w:div>
                  </w:divsChild>
                </w:div>
                <w:div w:id="1092121186">
                  <w:marLeft w:val="0"/>
                  <w:marRight w:val="0"/>
                  <w:marTop w:val="0"/>
                  <w:marBottom w:val="0"/>
                  <w:divBdr>
                    <w:top w:val="none" w:sz="0" w:space="0" w:color="auto"/>
                    <w:left w:val="none" w:sz="0" w:space="0" w:color="auto"/>
                    <w:bottom w:val="none" w:sz="0" w:space="0" w:color="auto"/>
                    <w:right w:val="none" w:sz="0" w:space="0" w:color="auto"/>
                  </w:divBdr>
                  <w:divsChild>
                    <w:div w:id="165635468">
                      <w:marLeft w:val="0"/>
                      <w:marRight w:val="0"/>
                      <w:marTop w:val="0"/>
                      <w:marBottom w:val="0"/>
                      <w:divBdr>
                        <w:top w:val="none" w:sz="0" w:space="0" w:color="auto"/>
                        <w:left w:val="none" w:sz="0" w:space="0" w:color="auto"/>
                        <w:bottom w:val="none" w:sz="0" w:space="0" w:color="auto"/>
                        <w:right w:val="none" w:sz="0" w:space="0" w:color="auto"/>
                      </w:divBdr>
                    </w:div>
                  </w:divsChild>
                </w:div>
                <w:div w:id="1094861706">
                  <w:marLeft w:val="0"/>
                  <w:marRight w:val="0"/>
                  <w:marTop w:val="0"/>
                  <w:marBottom w:val="0"/>
                  <w:divBdr>
                    <w:top w:val="none" w:sz="0" w:space="0" w:color="auto"/>
                    <w:left w:val="none" w:sz="0" w:space="0" w:color="auto"/>
                    <w:bottom w:val="none" w:sz="0" w:space="0" w:color="auto"/>
                    <w:right w:val="none" w:sz="0" w:space="0" w:color="auto"/>
                  </w:divBdr>
                  <w:divsChild>
                    <w:div w:id="2037273384">
                      <w:marLeft w:val="0"/>
                      <w:marRight w:val="0"/>
                      <w:marTop w:val="0"/>
                      <w:marBottom w:val="0"/>
                      <w:divBdr>
                        <w:top w:val="none" w:sz="0" w:space="0" w:color="auto"/>
                        <w:left w:val="none" w:sz="0" w:space="0" w:color="auto"/>
                        <w:bottom w:val="none" w:sz="0" w:space="0" w:color="auto"/>
                        <w:right w:val="none" w:sz="0" w:space="0" w:color="auto"/>
                      </w:divBdr>
                    </w:div>
                  </w:divsChild>
                </w:div>
                <w:div w:id="1103644745">
                  <w:marLeft w:val="0"/>
                  <w:marRight w:val="0"/>
                  <w:marTop w:val="0"/>
                  <w:marBottom w:val="0"/>
                  <w:divBdr>
                    <w:top w:val="none" w:sz="0" w:space="0" w:color="auto"/>
                    <w:left w:val="none" w:sz="0" w:space="0" w:color="auto"/>
                    <w:bottom w:val="none" w:sz="0" w:space="0" w:color="auto"/>
                    <w:right w:val="none" w:sz="0" w:space="0" w:color="auto"/>
                  </w:divBdr>
                  <w:divsChild>
                    <w:div w:id="2094742500">
                      <w:marLeft w:val="0"/>
                      <w:marRight w:val="0"/>
                      <w:marTop w:val="0"/>
                      <w:marBottom w:val="0"/>
                      <w:divBdr>
                        <w:top w:val="none" w:sz="0" w:space="0" w:color="auto"/>
                        <w:left w:val="none" w:sz="0" w:space="0" w:color="auto"/>
                        <w:bottom w:val="none" w:sz="0" w:space="0" w:color="auto"/>
                        <w:right w:val="none" w:sz="0" w:space="0" w:color="auto"/>
                      </w:divBdr>
                    </w:div>
                  </w:divsChild>
                </w:div>
                <w:div w:id="1146892953">
                  <w:marLeft w:val="0"/>
                  <w:marRight w:val="0"/>
                  <w:marTop w:val="0"/>
                  <w:marBottom w:val="0"/>
                  <w:divBdr>
                    <w:top w:val="none" w:sz="0" w:space="0" w:color="auto"/>
                    <w:left w:val="none" w:sz="0" w:space="0" w:color="auto"/>
                    <w:bottom w:val="none" w:sz="0" w:space="0" w:color="auto"/>
                    <w:right w:val="none" w:sz="0" w:space="0" w:color="auto"/>
                  </w:divBdr>
                  <w:divsChild>
                    <w:div w:id="405542044">
                      <w:marLeft w:val="0"/>
                      <w:marRight w:val="0"/>
                      <w:marTop w:val="0"/>
                      <w:marBottom w:val="0"/>
                      <w:divBdr>
                        <w:top w:val="none" w:sz="0" w:space="0" w:color="auto"/>
                        <w:left w:val="none" w:sz="0" w:space="0" w:color="auto"/>
                        <w:bottom w:val="none" w:sz="0" w:space="0" w:color="auto"/>
                        <w:right w:val="none" w:sz="0" w:space="0" w:color="auto"/>
                      </w:divBdr>
                    </w:div>
                  </w:divsChild>
                </w:div>
                <w:div w:id="1147817882">
                  <w:marLeft w:val="0"/>
                  <w:marRight w:val="0"/>
                  <w:marTop w:val="0"/>
                  <w:marBottom w:val="0"/>
                  <w:divBdr>
                    <w:top w:val="none" w:sz="0" w:space="0" w:color="auto"/>
                    <w:left w:val="none" w:sz="0" w:space="0" w:color="auto"/>
                    <w:bottom w:val="none" w:sz="0" w:space="0" w:color="auto"/>
                    <w:right w:val="none" w:sz="0" w:space="0" w:color="auto"/>
                  </w:divBdr>
                  <w:divsChild>
                    <w:div w:id="88281207">
                      <w:marLeft w:val="0"/>
                      <w:marRight w:val="0"/>
                      <w:marTop w:val="0"/>
                      <w:marBottom w:val="0"/>
                      <w:divBdr>
                        <w:top w:val="none" w:sz="0" w:space="0" w:color="auto"/>
                        <w:left w:val="none" w:sz="0" w:space="0" w:color="auto"/>
                        <w:bottom w:val="none" w:sz="0" w:space="0" w:color="auto"/>
                        <w:right w:val="none" w:sz="0" w:space="0" w:color="auto"/>
                      </w:divBdr>
                    </w:div>
                  </w:divsChild>
                </w:div>
                <w:div w:id="1166939380">
                  <w:marLeft w:val="0"/>
                  <w:marRight w:val="0"/>
                  <w:marTop w:val="0"/>
                  <w:marBottom w:val="0"/>
                  <w:divBdr>
                    <w:top w:val="none" w:sz="0" w:space="0" w:color="auto"/>
                    <w:left w:val="none" w:sz="0" w:space="0" w:color="auto"/>
                    <w:bottom w:val="none" w:sz="0" w:space="0" w:color="auto"/>
                    <w:right w:val="none" w:sz="0" w:space="0" w:color="auto"/>
                  </w:divBdr>
                  <w:divsChild>
                    <w:div w:id="839660266">
                      <w:marLeft w:val="0"/>
                      <w:marRight w:val="0"/>
                      <w:marTop w:val="0"/>
                      <w:marBottom w:val="0"/>
                      <w:divBdr>
                        <w:top w:val="none" w:sz="0" w:space="0" w:color="auto"/>
                        <w:left w:val="none" w:sz="0" w:space="0" w:color="auto"/>
                        <w:bottom w:val="none" w:sz="0" w:space="0" w:color="auto"/>
                        <w:right w:val="none" w:sz="0" w:space="0" w:color="auto"/>
                      </w:divBdr>
                    </w:div>
                  </w:divsChild>
                </w:div>
                <w:div w:id="1189568093">
                  <w:marLeft w:val="0"/>
                  <w:marRight w:val="0"/>
                  <w:marTop w:val="0"/>
                  <w:marBottom w:val="0"/>
                  <w:divBdr>
                    <w:top w:val="none" w:sz="0" w:space="0" w:color="auto"/>
                    <w:left w:val="none" w:sz="0" w:space="0" w:color="auto"/>
                    <w:bottom w:val="none" w:sz="0" w:space="0" w:color="auto"/>
                    <w:right w:val="none" w:sz="0" w:space="0" w:color="auto"/>
                  </w:divBdr>
                </w:div>
                <w:div w:id="1195343627">
                  <w:marLeft w:val="0"/>
                  <w:marRight w:val="0"/>
                  <w:marTop w:val="0"/>
                  <w:marBottom w:val="0"/>
                  <w:divBdr>
                    <w:top w:val="none" w:sz="0" w:space="0" w:color="auto"/>
                    <w:left w:val="none" w:sz="0" w:space="0" w:color="auto"/>
                    <w:bottom w:val="none" w:sz="0" w:space="0" w:color="auto"/>
                    <w:right w:val="none" w:sz="0" w:space="0" w:color="auto"/>
                  </w:divBdr>
                </w:div>
                <w:div w:id="1197742916">
                  <w:marLeft w:val="0"/>
                  <w:marRight w:val="0"/>
                  <w:marTop w:val="0"/>
                  <w:marBottom w:val="0"/>
                  <w:divBdr>
                    <w:top w:val="none" w:sz="0" w:space="0" w:color="auto"/>
                    <w:left w:val="none" w:sz="0" w:space="0" w:color="auto"/>
                    <w:bottom w:val="none" w:sz="0" w:space="0" w:color="auto"/>
                    <w:right w:val="none" w:sz="0" w:space="0" w:color="auto"/>
                  </w:divBdr>
                  <w:divsChild>
                    <w:div w:id="1490823783">
                      <w:marLeft w:val="0"/>
                      <w:marRight w:val="0"/>
                      <w:marTop w:val="0"/>
                      <w:marBottom w:val="0"/>
                      <w:divBdr>
                        <w:top w:val="none" w:sz="0" w:space="0" w:color="auto"/>
                        <w:left w:val="none" w:sz="0" w:space="0" w:color="auto"/>
                        <w:bottom w:val="none" w:sz="0" w:space="0" w:color="auto"/>
                        <w:right w:val="none" w:sz="0" w:space="0" w:color="auto"/>
                      </w:divBdr>
                    </w:div>
                  </w:divsChild>
                </w:div>
                <w:div w:id="1254121301">
                  <w:marLeft w:val="0"/>
                  <w:marRight w:val="0"/>
                  <w:marTop w:val="0"/>
                  <w:marBottom w:val="0"/>
                  <w:divBdr>
                    <w:top w:val="none" w:sz="0" w:space="0" w:color="auto"/>
                    <w:left w:val="none" w:sz="0" w:space="0" w:color="auto"/>
                    <w:bottom w:val="none" w:sz="0" w:space="0" w:color="auto"/>
                    <w:right w:val="none" w:sz="0" w:space="0" w:color="auto"/>
                  </w:divBdr>
                  <w:divsChild>
                    <w:div w:id="500006009">
                      <w:marLeft w:val="0"/>
                      <w:marRight w:val="0"/>
                      <w:marTop w:val="0"/>
                      <w:marBottom w:val="0"/>
                      <w:divBdr>
                        <w:top w:val="none" w:sz="0" w:space="0" w:color="auto"/>
                        <w:left w:val="none" w:sz="0" w:space="0" w:color="auto"/>
                        <w:bottom w:val="none" w:sz="0" w:space="0" w:color="auto"/>
                        <w:right w:val="none" w:sz="0" w:space="0" w:color="auto"/>
                      </w:divBdr>
                    </w:div>
                  </w:divsChild>
                </w:div>
                <w:div w:id="1292832447">
                  <w:marLeft w:val="0"/>
                  <w:marRight w:val="0"/>
                  <w:marTop w:val="0"/>
                  <w:marBottom w:val="0"/>
                  <w:divBdr>
                    <w:top w:val="none" w:sz="0" w:space="0" w:color="auto"/>
                    <w:left w:val="none" w:sz="0" w:space="0" w:color="auto"/>
                    <w:bottom w:val="none" w:sz="0" w:space="0" w:color="auto"/>
                    <w:right w:val="none" w:sz="0" w:space="0" w:color="auto"/>
                  </w:divBdr>
                  <w:divsChild>
                    <w:div w:id="1424103404">
                      <w:marLeft w:val="0"/>
                      <w:marRight w:val="0"/>
                      <w:marTop w:val="0"/>
                      <w:marBottom w:val="0"/>
                      <w:divBdr>
                        <w:top w:val="none" w:sz="0" w:space="0" w:color="auto"/>
                        <w:left w:val="none" w:sz="0" w:space="0" w:color="auto"/>
                        <w:bottom w:val="none" w:sz="0" w:space="0" w:color="auto"/>
                        <w:right w:val="none" w:sz="0" w:space="0" w:color="auto"/>
                      </w:divBdr>
                    </w:div>
                  </w:divsChild>
                </w:div>
                <w:div w:id="1295595562">
                  <w:marLeft w:val="0"/>
                  <w:marRight w:val="0"/>
                  <w:marTop w:val="0"/>
                  <w:marBottom w:val="0"/>
                  <w:divBdr>
                    <w:top w:val="none" w:sz="0" w:space="0" w:color="auto"/>
                    <w:left w:val="none" w:sz="0" w:space="0" w:color="auto"/>
                    <w:bottom w:val="none" w:sz="0" w:space="0" w:color="auto"/>
                    <w:right w:val="none" w:sz="0" w:space="0" w:color="auto"/>
                  </w:divBdr>
                  <w:divsChild>
                    <w:div w:id="1628510915">
                      <w:marLeft w:val="0"/>
                      <w:marRight w:val="0"/>
                      <w:marTop w:val="0"/>
                      <w:marBottom w:val="0"/>
                      <w:divBdr>
                        <w:top w:val="none" w:sz="0" w:space="0" w:color="auto"/>
                        <w:left w:val="none" w:sz="0" w:space="0" w:color="auto"/>
                        <w:bottom w:val="none" w:sz="0" w:space="0" w:color="auto"/>
                        <w:right w:val="none" w:sz="0" w:space="0" w:color="auto"/>
                      </w:divBdr>
                    </w:div>
                  </w:divsChild>
                </w:div>
                <w:div w:id="1325205077">
                  <w:marLeft w:val="0"/>
                  <w:marRight w:val="0"/>
                  <w:marTop w:val="0"/>
                  <w:marBottom w:val="0"/>
                  <w:divBdr>
                    <w:top w:val="none" w:sz="0" w:space="0" w:color="auto"/>
                    <w:left w:val="none" w:sz="0" w:space="0" w:color="auto"/>
                    <w:bottom w:val="none" w:sz="0" w:space="0" w:color="auto"/>
                    <w:right w:val="none" w:sz="0" w:space="0" w:color="auto"/>
                  </w:divBdr>
                  <w:divsChild>
                    <w:div w:id="1523663542">
                      <w:marLeft w:val="0"/>
                      <w:marRight w:val="0"/>
                      <w:marTop w:val="0"/>
                      <w:marBottom w:val="0"/>
                      <w:divBdr>
                        <w:top w:val="none" w:sz="0" w:space="0" w:color="auto"/>
                        <w:left w:val="none" w:sz="0" w:space="0" w:color="auto"/>
                        <w:bottom w:val="none" w:sz="0" w:space="0" w:color="auto"/>
                        <w:right w:val="none" w:sz="0" w:space="0" w:color="auto"/>
                      </w:divBdr>
                    </w:div>
                  </w:divsChild>
                </w:div>
                <w:div w:id="1362510174">
                  <w:marLeft w:val="0"/>
                  <w:marRight w:val="0"/>
                  <w:marTop w:val="0"/>
                  <w:marBottom w:val="0"/>
                  <w:divBdr>
                    <w:top w:val="none" w:sz="0" w:space="0" w:color="auto"/>
                    <w:left w:val="none" w:sz="0" w:space="0" w:color="auto"/>
                    <w:bottom w:val="none" w:sz="0" w:space="0" w:color="auto"/>
                    <w:right w:val="none" w:sz="0" w:space="0" w:color="auto"/>
                  </w:divBdr>
                  <w:divsChild>
                    <w:div w:id="221870220">
                      <w:marLeft w:val="0"/>
                      <w:marRight w:val="0"/>
                      <w:marTop w:val="0"/>
                      <w:marBottom w:val="0"/>
                      <w:divBdr>
                        <w:top w:val="none" w:sz="0" w:space="0" w:color="auto"/>
                        <w:left w:val="none" w:sz="0" w:space="0" w:color="auto"/>
                        <w:bottom w:val="none" w:sz="0" w:space="0" w:color="auto"/>
                        <w:right w:val="none" w:sz="0" w:space="0" w:color="auto"/>
                      </w:divBdr>
                    </w:div>
                  </w:divsChild>
                </w:div>
                <w:div w:id="1408772994">
                  <w:marLeft w:val="0"/>
                  <w:marRight w:val="0"/>
                  <w:marTop w:val="0"/>
                  <w:marBottom w:val="0"/>
                  <w:divBdr>
                    <w:top w:val="none" w:sz="0" w:space="0" w:color="auto"/>
                    <w:left w:val="none" w:sz="0" w:space="0" w:color="auto"/>
                    <w:bottom w:val="none" w:sz="0" w:space="0" w:color="auto"/>
                    <w:right w:val="none" w:sz="0" w:space="0" w:color="auto"/>
                  </w:divBdr>
                  <w:divsChild>
                    <w:div w:id="1732121573">
                      <w:marLeft w:val="0"/>
                      <w:marRight w:val="0"/>
                      <w:marTop w:val="0"/>
                      <w:marBottom w:val="0"/>
                      <w:divBdr>
                        <w:top w:val="none" w:sz="0" w:space="0" w:color="auto"/>
                        <w:left w:val="none" w:sz="0" w:space="0" w:color="auto"/>
                        <w:bottom w:val="none" w:sz="0" w:space="0" w:color="auto"/>
                        <w:right w:val="none" w:sz="0" w:space="0" w:color="auto"/>
                      </w:divBdr>
                    </w:div>
                  </w:divsChild>
                </w:div>
                <w:div w:id="1419987006">
                  <w:marLeft w:val="0"/>
                  <w:marRight w:val="0"/>
                  <w:marTop w:val="0"/>
                  <w:marBottom w:val="0"/>
                  <w:divBdr>
                    <w:top w:val="none" w:sz="0" w:space="0" w:color="auto"/>
                    <w:left w:val="none" w:sz="0" w:space="0" w:color="auto"/>
                    <w:bottom w:val="none" w:sz="0" w:space="0" w:color="auto"/>
                    <w:right w:val="none" w:sz="0" w:space="0" w:color="auto"/>
                  </w:divBdr>
                  <w:divsChild>
                    <w:div w:id="1837846112">
                      <w:marLeft w:val="0"/>
                      <w:marRight w:val="0"/>
                      <w:marTop w:val="0"/>
                      <w:marBottom w:val="0"/>
                      <w:divBdr>
                        <w:top w:val="none" w:sz="0" w:space="0" w:color="auto"/>
                        <w:left w:val="none" w:sz="0" w:space="0" w:color="auto"/>
                        <w:bottom w:val="none" w:sz="0" w:space="0" w:color="auto"/>
                        <w:right w:val="none" w:sz="0" w:space="0" w:color="auto"/>
                      </w:divBdr>
                    </w:div>
                  </w:divsChild>
                </w:div>
                <w:div w:id="1421869737">
                  <w:marLeft w:val="0"/>
                  <w:marRight w:val="0"/>
                  <w:marTop w:val="0"/>
                  <w:marBottom w:val="0"/>
                  <w:divBdr>
                    <w:top w:val="none" w:sz="0" w:space="0" w:color="auto"/>
                    <w:left w:val="none" w:sz="0" w:space="0" w:color="auto"/>
                    <w:bottom w:val="none" w:sz="0" w:space="0" w:color="auto"/>
                    <w:right w:val="none" w:sz="0" w:space="0" w:color="auto"/>
                  </w:divBdr>
                  <w:divsChild>
                    <w:div w:id="606738326">
                      <w:marLeft w:val="0"/>
                      <w:marRight w:val="0"/>
                      <w:marTop w:val="0"/>
                      <w:marBottom w:val="0"/>
                      <w:divBdr>
                        <w:top w:val="none" w:sz="0" w:space="0" w:color="auto"/>
                        <w:left w:val="none" w:sz="0" w:space="0" w:color="auto"/>
                        <w:bottom w:val="none" w:sz="0" w:space="0" w:color="auto"/>
                        <w:right w:val="none" w:sz="0" w:space="0" w:color="auto"/>
                      </w:divBdr>
                    </w:div>
                  </w:divsChild>
                </w:div>
                <w:div w:id="1441875111">
                  <w:marLeft w:val="0"/>
                  <w:marRight w:val="0"/>
                  <w:marTop w:val="0"/>
                  <w:marBottom w:val="0"/>
                  <w:divBdr>
                    <w:top w:val="none" w:sz="0" w:space="0" w:color="auto"/>
                    <w:left w:val="none" w:sz="0" w:space="0" w:color="auto"/>
                    <w:bottom w:val="none" w:sz="0" w:space="0" w:color="auto"/>
                    <w:right w:val="none" w:sz="0" w:space="0" w:color="auto"/>
                  </w:divBdr>
                  <w:divsChild>
                    <w:div w:id="1421097473">
                      <w:marLeft w:val="0"/>
                      <w:marRight w:val="0"/>
                      <w:marTop w:val="0"/>
                      <w:marBottom w:val="0"/>
                      <w:divBdr>
                        <w:top w:val="none" w:sz="0" w:space="0" w:color="auto"/>
                        <w:left w:val="none" w:sz="0" w:space="0" w:color="auto"/>
                        <w:bottom w:val="none" w:sz="0" w:space="0" w:color="auto"/>
                        <w:right w:val="none" w:sz="0" w:space="0" w:color="auto"/>
                      </w:divBdr>
                    </w:div>
                  </w:divsChild>
                </w:div>
                <w:div w:id="1493452417">
                  <w:marLeft w:val="0"/>
                  <w:marRight w:val="0"/>
                  <w:marTop w:val="0"/>
                  <w:marBottom w:val="0"/>
                  <w:divBdr>
                    <w:top w:val="none" w:sz="0" w:space="0" w:color="auto"/>
                    <w:left w:val="none" w:sz="0" w:space="0" w:color="auto"/>
                    <w:bottom w:val="none" w:sz="0" w:space="0" w:color="auto"/>
                    <w:right w:val="none" w:sz="0" w:space="0" w:color="auto"/>
                  </w:divBdr>
                  <w:divsChild>
                    <w:div w:id="164827940">
                      <w:marLeft w:val="0"/>
                      <w:marRight w:val="0"/>
                      <w:marTop w:val="0"/>
                      <w:marBottom w:val="0"/>
                      <w:divBdr>
                        <w:top w:val="none" w:sz="0" w:space="0" w:color="auto"/>
                        <w:left w:val="none" w:sz="0" w:space="0" w:color="auto"/>
                        <w:bottom w:val="none" w:sz="0" w:space="0" w:color="auto"/>
                        <w:right w:val="none" w:sz="0" w:space="0" w:color="auto"/>
                      </w:divBdr>
                    </w:div>
                  </w:divsChild>
                </w:div>
                <w:div w:id="1523126261">
                  <w:marLeft w:val="0"/>
                  <w:marRight w:val="0"/>
                  <w:marTop w:val="0"/>
                  <w:marBottom w:val="0"/>
                  <w:divBdr>
                    <w:top w:val="none" w:sz="0" w:space="0" w:color="auto"/>
                    <w:left w:val="none" w:sz="0" w:space="0" w:color="auto"/>
                    <w:bottom w:val="none" w:sz="0" w:space="0" w:color="auto"/>
                    <w:right w:val="none" w:sz="0" w:space="0" w:color="auto"/>
                  </w:divBdr>
                  <w:divsChild>
                    <w:div w:id="727610815">
                      <w:marLeft w:val="0"/>
                      <w:marRight w:val="0"/>
                      <w:marTop w:val="0"/>
                      <w:marBottom w:val="0"/>
                      <w:divBdr>
                        <w:top w:val="none" w:sz="0" w:space="0" w:color="auto"/>
                        <w:left w:val="none" w:sz="0" w:space="0" w:color="auto"/>
                        <w:bottom w:val="none" w:sz="0" w:space="0" w:color="auto"/>
                        <w:right w:val="none" w:sz="0" w:space="0" w:color="auto"/>
                      </w:divBdr>
                    </w:div>
                  </w:divsChild>
                </w:div>
                <w:div w:id="1549102965">
                  <w:marLeft w:val="0"/>
                  <w:marRight w:val="0"/>
                  <w:marTop w:val="0"/>
                  <w:marBottom w:val="0"/>
                  <w:divBdr>
                    <w:top w:val="none" w:sz="0" w:space="0" w:color="auto"/>
                    <w:left w:val="none" w:sz="0" w:space="0" w:color="auto"/>
                    <w:bottom w:val="none" w:sz="0" w:space="0" w:color="auto"/>
                    <w:right w:val="none" w:sz="0" w:space="0" w:color="auto"/>
                  </w:divBdr>
                  <w:divsChild>
                    <w:div w:id="1692098469">
                      <w:marLeft w:val="0"/>
                      <w:marRight w:val="0"/>
                      <w:marTop w:val="0"/>
                      <w:marBottom w:val="0"/>
                      <w:divBdr>
                        <w:top w:val="none" w:sz="0" w:space="0" w:color="auto"/>
                        <w:left w:val="none" w:sz="0" w:space="0" w:color="auto"/>
                        <w:bottom w:val="none" w:sz="0" w:space="0" w:color="auto"/>
                        <w:right w:val="none" w:sz="0" w:space="0" w:color="auto"/>
                      </w:divBdr>
                    </w:div>
                  </w:divsChild>
                </w:div>
                <w:div w:id="1562474435">
                  <w:marLeft w:val="0"/>
                  <w:marRight w:val="0"/>
                  <w:marTop w:val="0"/>
                  <w:marBottom w:val="0"/>
                  <w:divBdr>
                    <w:top w:val="none" w:sz="0" w:space="0" w:color="auto"/>
                    <w:left w:val="none" w:sz="0" w:space="0" w:color="auto"/>
                    <w:bottom w:val="none" w:sz="0" w:space="0" w:color="auto"/>
                    <w:right w:val="none" w:sz="0" w:space="0" w:color="auto"/>
                  </w:divBdr>
                  <w:divsChild>
                    <w:div w:id="670060885">
                      <w:marLeft w:val="0"/>
                      <w:marRight w:val="0"/>
                      <w:marTop w:val="0"/>
                      <w:marBottom w:val="0"/>
                      <w:divBdr>
                        <w:top w:val="none" w:sz="0" w:space="0" w:color="auto"/>
                        <w:left w:val="none" w:sz="0" w:space="0" w:color="auto"/>
                        <w:bottom w:val="none" w:sz="0" w:space="0" w:color="auto"/>
                        <w:right w:val="none" w:sz="0" w:space="0" w:color="auto"/>
                      </w:divBdr>
                    </w:div>
                  </w:divsChild>
                </w:div>
                <w:div w:id="1568031632">
                  <w:marLeft w:val="0"/>
                  <w:marRight w:val="0"/>
                  <w:marTop w:val="0"/>
                  <w:marBottom w:val="0"/>
                  <w:divBdr>
                    <w:top w:val="none" w:sz="0" w:space="0" w:color="auto"/>
                    <w:left w:val="none" w:sz="0" w:space="0" w:color="auto"/>
                    <w:bottom w:val="none" w:sz="0" w:space="0" w:color="auto"/>
                    <w:right w:val="none" w:sz="0" w:space="0" w:color="auto"/>
                  </w:divBdr>
                  <w:divsChild>
                    <w:div w:id="1542475801">
                      <w:marLeft w:val="0"/>
                      <w:marRight w:val="0"/>
                      <w:marTop w:val="0"/>
                      <w:marBottom w:val="0"/>
                      <w:divBdr>
                        <w:top w:val="none" w:sz="0" w:space="0" w:color="auto"/>
                        <w:left w:val="none" w:sz="0" w:space="0" w:color="auto"/>
                        <w:bottom w:val="none" w:sz="0" w:space="0" w:color="auto"/>
                        <w:right w:val="none" w:sz="0" w:space="0" w:color="auto"/>
                      </w:divBdr>
                    </w:div>
                  </w:divsChild>
                </w:div>
                <w:div w:id="1577083321">
                  <w:marLeft w:val="0"/>
                  <w:marRight w:val="0"/>
                  <w:marTop w:val="0"/>
                  <w:marBottom w:val="0"/>
                  <w:divBdr>
                    <w:top w:val="none" w:sz="0" w:space="0" w:color="auto"/>
                    <w:left w:val="none" w:sz="0" w:space="0" w:color="auto"/>
                    <w:bottom w:val="none" w:sz="0" w:space="0" w:color="auto"/>
                    <w:right w:val="none" w:sz="0" w:space="0" w:color="auto"/>
                  </w:divBdr>
                  <w:divsChild>
                    <w:div w:id="1230262420">
                      <w:marLeft w:val="0"/>
                      <w:marRight w:val="0"/>
                      <w:marTop w:val="0"/>
                      <w:marBottom w:val="0"/>
                      <w:divBdr>
                        <w:top w:val="none" w:sz="0" w:space="0" w:color="auto"/>
                        <w:left w:val="none" w:sz="0" w:space="0" w:color="auto"/>
                        <w:bottom w:val="none" w:sz="0" w:space="0" w:color="auto"/>
                        <w:right w:val="none" w:sz="0" w:space="0" w:color="auto"/>
                      </w:divBdr>
                    </w:div>
                  </w:divsChild>
                </w:div>
                <w:div w:id="1610240530">
                  <w:marLeft w:val="0"/>
                  <w:marRight w:val="0"/>
                  <w:marTop w:val="0"/>
                  <w:marBottom w:val="0"/>
                  <w:divBdr>
                    <w:top w:val="none" w:sz="0" w:space="0" w:color="auto"/>
                    <w:left w:val="none" w:sz="0" w:space="0" w:color="auto"/>
                    <w:bottom w:val="none" w:sz="0" w:space="0" w:color="auto"/>
                    <w:right w:val="none" w:sz="0" w:space="0" w:color="auto"/>
                  </w:divBdr>
                  <w:divsChild>
                    <w:div w:id="844132753">
                      <w:marLeft w:val="0"/>
                      <w:marRight w:val="0"/>
                      <w:marTop w:val="0"/>
                      <w:marBottom w:val="0"/>
                      <w:divBdr>
                        <w:top w:val="none" w:sz="0" w:space="0" w:color="auto"/>
                        <w:left w:val="none" w:sz="0" w:space="0" w:color="auto"/>
                        <w:bottom w:val="none" w:sz="0" w:space="0" w:color="auto"/>
                        <w:right w:val="none" w:sz="0" w:space="0" w:color="auto"/>
                      </w:divBdr>
                    </w:div>
                  </w:divsChild>
                </w:div>
                <w:div w:id="1615482608">
                  <w:marLeft w:val="0"/>
                  <w:marRight w:val="0"/>
                  <w:marTop w:val="0"/>
                  <w:marBottom w:val="0"/>
                  <w:divBdr>
                    <w:top w:val="none" w:sz="0" w:space="0" w:color="auto"/>
                    <w:left w:val="none" w:sz="0" w:space="0" w:color="auto"/>
                    <w:bottom w:val="none" w:sz="0" w:space="0" w:color="auto"/>
                    <w:right w:val="none" w:sz="0" w:space="0" w:color="auto"/>
                  </w:divBdr>
                  <w:divsChild>
                    <w:div w:id="805244898">
                      <w:marLeft w:val="0"/>
                      <w:marRight w:val="0"/>
                      <w:marTop w:val="0"/>
                      <w:marBottom w:val="0"/>
                      <w:divBdr>
                        <w:top w:val="none" w:sz="0" w:space="0" w:color="auto"/>
                        <w:left w:val="none" w:sz="0" w:space="0" w:color="auto"/>
                        <w:bottom w:val="none" w:sz="0" w:space="0" w:color="auto"/>
                        <w:right w:val="none" w:sz="0" w:space="0" w:color="auto"/>
                      </w:divBdr>
                    </w:div>
                  </w:divsChild>
                </w:div>
                <w:div w:id="1631088343">
                  <w:marLeft w:val="0"/>
                  <w:marRight w:val="0"/>
                  <w:marTop w:val="0"/>
                  <w:marBottom w:val="0"/>
                  <w:divBdr>
                    <w:top w:val="none" w:sz="0" w:space="0" w:color="auto"/>
                    <w:left w:val="none" w:sz="0" w:space="0" w:color="auto"/>
                    <w:bottom w:val="none" w:sz="0" w:space="0" w:color="auto"/>
                    <w:right w:val="none" w:sz="0" w:space="0" w:color="auto"/>
                  </w:divBdr>
                  <w:divsChild>
                    <w:div w:id="838695613">
                      <w:marLeft w:val="0"/>
                      <w:marRight w:val="0"/>
                      <w:marTop w:val="0"/>
                      <w:marBottom w:val="0"/>
                      <w:divBdr>
                        <w:top w:val="none" w:sz="0" w:space="0" w:color="auto"/>
                        <w:left w:val="none" w:sz="0" w:space="0" w:color="auto"/>
                        <w:bottom w:val="none" w:sz="0" w:space="0" w:color="auto"/>
                        <w:right w:val="none" w:sz="0" w:space="0" w:color="auto"/>
                      </w:divBdr>
                    </w:div>
                  </w:divsChild>
                </w:div>
                <w:div w:id="1645771589">
                  <w:marLeft w:val="0"/>
                  <w:marRight w:val="0"/>
                  <w:marTop w:val="0"/>
                  <w:marBottom w:val="0"/>
                  <w:divBdr>
                    <w:top w:val="none" w:sz="0" w:space="0" w:color="auto"/>
                    <w:left w:val="none" w:sz="0" w:space="0" w:color="auto"/>
                    <w:bottom w:val="none" w:sz="0" w:space="0" w:color="auto"/>
                    <w:right w:val="none" w:sz="0" w:space="0" w:color="auto"/>
                  </w:divBdr>
                  <w:divsChild>
                    <w:div w:id="751047807">
                      <w:marLeft w:val="0"/>
                      <w:marRight w:val="0"/>
                      <w:marTop w:val="0"/>
                      <w:marBottom w:val="0"/>
                      <w:divBdr>
                        <w:top w:val="none" w:sz="0" w:space="0" w:color="auto"/>
                        <w:left w:val="none" w:sz="0" w:space="0" w:color="auto"/>
                        <w:bottom w:val="none" w:sz="0" w:space="0" w:color="auto"/>
                        <w:right w:val="none" w:sz="0" w:space="0" w:color="auto"/>
                      </w:divBdr>
                    </w:div>
                  </w:divsChild>
                </w:div>
                <w:div w:id="1665937628">
                  <w:marLeft w:val="0"/>
                  <w:marRight w:val="0"/>
                  <w:marTop w:val="0"/>
                  <w:marBottom w:val="0"/>
                  <w:divBdr>
                    <w:top w:val="none" w:sz="0" w:space="0" w:color="auto"/>
                    <w:left w:val="none" w:sz="0" w:space="0" w:color="auto"/>
                    <w:bottom w:val="none" w:sz="0" w:space="0" w:color="auto"/>
                    <w:right w:val="none" w:sz="0" w:space="0" w:color="auto"/>
                  </w:divBdr>
                  <w:divsChild>
                    <w:div w:id="2108964567">
                      <w:marLeft w:val="0"/>
                      <w:marRight w:val="0"/>
                      <w:marTop w:val="0"/>
                      <w:marBottom w:val="0"/>
                      <w:divBdr>
                        <w:top w:val="none" w:sz="0" w:space="0" w:color="auto"/>
                        <w:left w:val="none" w:sz="0" w:space="0" w:color="auto"/>
                        <w:bottom w:val="none" w:sz="0" w:space="0" w:color="auto"/>
                        <w:right w:val="none" w:sz="0" w:space="0" w:color="auto"/>
                      </w:divBdr>
                    </w:div>
                  </w:divsChild>
                </w:div>
                <w:div w:id="1723403831">
                  <w:marLeft w:val="0"/>
                  <w:marRight w:val="0"/>
                  <w:marTop w:val="0"/>
                  <w:marBottom w:val="0"/>
                  <w:divBdr>
                    <w:top w:val="none" w:sz="0" w:space="0" w:color="auto"/>
                    <w:left w:val="none" w:sz="0" w:space="0" w:color="auto"/>
                    <w:bottom w:val="none" w:sz="0" w:space="0" w:color="auto"/>
                    <w:right w:val="none" w:sz="0" w:space="0" w:color="auto"/>
                  </w:divBdr>
                  <w:divsChild>
                    <w:div w:id="1877543739">
                      <w:marLeft w:val="0"/>
                      <w:marRight w:val="0"/>
                      <w:marTop w:val="0"/>
                      <w:marBottom w:val="0"/>
                      <w:divBdr>
                        <w:top w:val="none" w:sz="0" w:space="0" w:color="auto"/>
                        <w:left w:val="none" w:sz="0" w:space="0" w:color="auto"/>
                        <w:bottom w:val="none" w:sz="0" w:space="0" w:color="auto"/>
                        <w:right w:val="none" w:sz="0" w:space="0" w:color="auto"/>
                      </w:divBdr>
                    </w:div>
                  </w:divsChild>
                </w:div>
                <w:div w:id="1770733621">
                  <w:marLeft w:val="0"/>
                  <w:marRight w:val="0"/>
                  <w:marTop w:val="0"/>
                  <w:marBottom w:val="0"/>
                  <w:divBdr>
                    <w:top w:val="none" w:sz="0" w:space="0" w:color="auto"/>
                    <w:left w:val="none" w:sz="0" w:space="0" w:color="auto"/>
                    <w:bottom w:val="none" w:sz="0" w:space="0" w:color="auto"/>
                    <w:right w:val="none" w:sz="0" w:space="0" w:color="auto"/>
                  </w:divBdr>
                  <w:divsChild>
                    <w:div w:id="1410538177">
                      <w:marLeft w:val="0"/>
                      <w:marRight w:val="0"/>
                      <w:marTop w:val="0"/>
                      <w:marBottom w:val="0"/>
                      <w:divBdr>
                        <w:top w:val="none" w:sz="0" w:space="0" w:color="auto"/>
                        <w:left w:val="none" w:sz="0" w:space="0" w:color="auto"/>
                        <w:bottom w:val="none" w:sz="0" w:space="0" w:color="auto"/>
                        <w:right w:val="none" w:sz="0" w:space="0" w:color="auto"/>
                      </w:divBdr>
                    </w:div>
                  </w:divsChild>
                </w:div>
                <w:div w:id="1777092521">
                  <w:marLeft w:val="0"/>
                  <w:marRight w:val="0"/>
                  <w:marTop w:val="0"/>
                  <w:marBottom w:val="0"/>
                  <w:divBdr>
                    <w:top w:val="none" w:sz="0" w:space="0" w:color="auto"/>
                    <w:left w:val="none" w:sz="0" w:space="0" w:color="auto"/>
                    <w:bottom w:val="none" w:sz="0" w:space="0" w:color="auto"/>
                    <w:right w:val="none" w:sz="0" w:space="0" w:color="auto"/>
                  </w:divBdr>
                  <w:divsChild>
                    <w:div w:id="1646470253">
                      <w:marLeft w:val="0"/>
                      <w:marRight w:val="0"/>
                      <w:marTop w:val="0"/>
                      <w:marBottom w:val="0"/>
                      <w:divBdr>
                        <w:top w:val="none" w:sz="0" w:space="0" w:color="auto"/>
                        <w:left w:val="none" w:sz="0" w:space="0" w:color="auto"/>
                        <w:bottom w:val="none" w:sz="0" w:space="0" w:color="auto"/>
                        <w:right w:val="none" w:sz="0" w:space="0" w:color="auto"/>
                      </w:divBdr>
                    </w:div>
                  </w:divsChild>
                </w:div>
                <w:div w:id="1790902728">
                  <w:marLeft w:val="0"/>
                  <w:marRight w:val="0"/>
                  <w:marTop w:val="0"/>
                  <w:marBottom w:val="0"/>
                  <w:divBdr>
                    <w:top w:val="none" w:sz="0" w:space="0" w:color="auto"/>
                    <w:left w:val="none" w:sz="0" w:space="0" w:color="auto"/>
                    <w:bottom w:val="none" w:sz="0" w:space="0" w:color="auto"/>
                    <w:right w:val="none" w:sz="0" w:space="0" w:color="auto"/>
                  </w:divBdr>
                  <w:divsChild>
                    <w:div w:id="1537351288">
                      <w:marLeft w:val="0"/>
                      <w:marRight w:val="0"/>
                      <w:marTop w:val="0"/>
                      <w:marBottom w:val="0"/>
                      <w:divBdr>
                        <w:top w:val="none" w:sz="0" w:space="0" w:color="auto"/>
                        <w:left w:val="none" w:sz="0" w:space="0" w:color="auto"/>
                        <w:bottom w:val="none" w:sz="0" w:space="0" w:color="auto"/>
                        <w:right w:val="none" w:sz="0" w:space="0" w:color="auto"/>
                      </w:divBdr>
                    </w:div>
                  </w:divsChild>
                </w:div>
                <w:div w:id="1825782571">
                  <w:marLeft w:val="0"/>
                  <w:marRight w:val="0"/>
                  <w:marTop w:val="0"/>
                  <w:marBottom w:val="0"/>
                  <w:divBdr>
                    <w:top w:val="none" w:sz="0" w:space="0" w:color="auto"/>
                    <w:left w:val="none" w:sz="0" w:space="0" w:color="auto"/>
                    <w:bottom w:val="none" w:sz="0" w:space="0" w:color="auto"/>
                    <w:right w:val="none" w:sz="0" w:space="0" w:color="auto"/>
                  </w:divBdr>
                  <w:divsChild>
                    <w:div w:id="445388524">
                      <w:marLeft w:val="0"/>
                      <w:marRight w:val="0"/>
                      <w:marTop w:val="0"/>
                      <w:marBottom w:val="0"/>
                      <w:divBdr>
                        <w:top w:val="none" w:sz="0" w:space="0" w:color="auto"/>
                        <w:left w:val="none" w:sz="0" w:space="0" w:color="auto"/>
                        <w:bottom w:val="none" w:sz="0" w:space="0" w:color="auto"/>
                        <w:right w:val="none" w:sz="0" w:space="0" w:color="auto"/>
                      </w:divBdr>
                    </w:div>
                  </w:divsChild>
                </w:div>
                <w:div w:id="1854218786">
                  <w:marLeft w:val="0"/>
                  <w:marRight w:val="0"/>
                  <w:marTop w:val="0"/>
                  <w:marBottom w:val="0"/>
                  <w:divBdr>
                    <w:top w:val="none" w:sz="0" w:space="0" w:color="auto"/>
                    <w:left w:val="none" w:sz="0" w:space="0" w:color="auto"/>
                    <w:bottom w:val="none" w:sz="0" w:space="0" w:color="auto"/>
                    <w:right w:val="none" w:sz="0" w:space="0" w:color="auto"/>
                  </w:divBdr>
                  <w:divsChild>
                    <w:div w:id="1745761844">
                      <w:marLeft w:val="0"/>
                      <w:marRight w:val="0"/>
                      <w:marTop w:val="0"/>
                      <w:marBottom w:val="0"/>
                      <w:divBdr>
                        <w:top w:val="none" w:sz="0" w:space="0" w:color="auto"/>
                        <w:left w:val="none" w:sz="0" w:space="0" w:color="auto"/>
                        <w:bottom w:val="none" w:sz="0" w:space="0" w:color="auto"/>
                        <w:right w:val="none" w:sz="0" w:space="0" w:color="auto"/>
                      </w:divBdr>
                    </w:div>
                  </w:divsChild>
                </w:div>
                <w:div w:id="1864515637">
                  <w:marLeft w:val="0"/>
                  <w:marRight w:val="0"/>
                  <w:marTop w:val="0"/>
                  <w:marBottom w:val="0"/>
                  <w:divBdr>
                    <w:top w:val="none" w:sz="0" w:space="0" w:color="auto"/>
                    <w:left w:val="none" w:sz="0" w:space="0" w:color="auto"/>
                    <w:bottom w:val="none" w:sz="0" w:space="0" w:color="auto"/>
                    <w:right w:val="none" w:sz="0" w:space="0" w:color="auto"/>
                  </w:divBdr>
                  <w:divsChild>
                    <w:div w:id="1127435689">
                      <w:marLeft w:val="0"/>
                      <w:marRight w:val="0"/>
                      <w:marTop w:val="0"/>
                      <w:marBottom w:val="0"/>
                      <w:divBdr>
                        <w:top w:val="none" w:sz="0" w:space="0" w:color="auto"/>
                        <w:left w:val="none" w:sz="0" w:space="0" w:color="auto"/>
                        <w:bottom w:val="none" w:sz="0" w:space="0" w:color="auto"/>
                        <w:right w:val="none" w:sz="0" w:space="0" w:color="auto"/>
                      </w:divBdr>
                    </w:div>
                  </w:divsChild>
                </w:div>
                <w:div w:id="1867013302">
                  <w:marLeft w:val="0"/>
                  <w:marRight w:val="0"/>
                  <w:marTop w:val="0"/>
                  <w:marBottom w:val="0"/>
                  <w:divBdr>
                    <w:top w:val="none" w:sz="0" w:space="0" w:color="auto"/>
                    <w:left w:val="none" w:sz="0" w:space="0" w:color="auto"/>
                    <w:bottom w:val="none" w:sz="0" w:space="0" w:color="auto"/>
                    <w:right w:val="none" w:sz="0" w:space="0" w:color="auto"/>
                  </w:divBdr>
                  <w:divsChild>
                    <w:div w:id="36398255">
                      <w:marLeft w:val="0"/>
                      <w:marRight w:val="0"/>
                      <w:marTop w:val="0"/>
                      <w:marBottom w:val="0"/>
                      <w:divBdr>
                        <w:top w:val="none" w:sz="0" w:space="0" w:color="auto"/>
                        <w:left w:val="none" w:sz="0" w:space="0" w:color="auto"/>
                        <w:bottom w:val="none" w:sz="0" w:space="0" w:color="auto"/>
                        <w:right w:val="none" w:sz="0" w:space="0" w:color="auto"/>
                      </w:divBdr>
                    </w:div>
                    <w:div w:id="1180776144">
                      <w:marLeft w:val="0"/>
                      <w:marRight w:val="0"/>
                      <w:marTop w:val="0"/>
                      <w:marBottom w:val="0"/>
                      <w:divBdr>
                        <w:top w:val="none" w:sz="0" w:space="0" w:color="auto"/>
                        <w:left w:val="none" w:sz="0" w:space="0" w:color="auto"/>
                        <w:bottom w:val="none" w:sz="0" w:space="0" w:color="auto"/>
                        <w:right w:val="none" w:sz="0" w:space="0" w:color="auto"/>
                      </w:divBdr>
                    </w:div>
                  </w:divsChild>
                </w:div>
                <w:div w:id="1883249569">
                  <w:marLeft w:val="0"/>
                  <w:marRight w:val="0"/>
                  <w:marTop w:val="0"/>
                  <w:marBottom w:val="0"/>
                  <w:divBdr>
                    <w:top w:val="none" w:sz="0" w:space="0" w:color="auto"/>
                    <w:left w:val="none" w:sz="0" w:space="0" w:color="auto"/>
                    <w:bottom w:val="none" w:sz="0" w:space="0" w:color="auto"/>
                    <w:right w:val="none" w:sz="0" w:space="0" w:color="auto"/>
                  </w:divBdr>
                  <w:divsChild>
                    <w:div w:id="1713651763">
                      <w:marLeft w:val="0"/>
                      <w:marRight w:val="0"/>
                      <w:marTop w:val="0"/>
                      <w:marBottom w:val="0"/>
                      <w:divBdr>
                        <w:top w:val="none" w:sz="0" w:space="0" w:color="auto"/>
                        <w:left w:val="none" w:sz="0" w:space="0" w:color="auto"/>
                        <w:bottom w:val="none" w:sz="0" w:space="0" w:color="auto"/>
                        <w:right w:val="none" w:sz="0" w:space="0" w:color="auto"/>
                      </w:divBdr>
                    </w:div>
                  </w:divsChild>
                </w:div>
                <w:div w:id="1899365648">
                  <w:marLeft w:val="0"/>
                  <w:marRight w:val="0"/>
                  <w:marTop w:val="0"/>
                  <w:marBottom w:val="0"/>
                  <w:divBdr>
                    <w:top w:val="none" w:sz="0" w:space="0" w:color="auto"/>
                    <w:left w:val="none" w:sz="0" w:space="0" w:color="auto"/>
                    <w:bottom w:val="none" w:sz="0" w:space="0" w:color="auto"/>
                    <w:right w:val="none" w:sz="0" w:space="0" w:color="auto"/>
                  </w:divBdr>
                  <w:divsChild>
                    <w:div w:id="1163813904">
                      <w:marLeft w:val="0"/>
                      <w:marRight w:val="0"/>
                      <w:marTop w:val="0"/>
                      <w:marBottom w:val="0"/>
                      <w:divBdr>
                        <w:top w:val="none" w:sz="0" w:space="0" w:color="auto"/>
                        <w:left w:val="none" w:sz="0" w:space="0" w:color="auto"/>
                        <w:bottom w:val="none" w:sz="0" w:space="0" w:color="auto"/>
                        <w:right w:val="none" w:sz="0" w:space="0" w:color="auto"/>
                      </w:divBdr>
                    </w:div>
                  </w:divsChild>
                </w:div>
                <w:div w:id="1903172374">
                  <w:marLeft w:val="0"/>
                  <w:marRight w:val="0"/>
                  <w:marTop w:val="0"/>
                  <w:marBottom w:val="0"/>
                  <w:divBdr>
                    <w:top w:val="none" w:sz="0" w:space="0" w:color="auto"/>
                    <w:left w:val="none" w:sz="0" w:space="0" w:color="auto"/>
                    <w:bottom w:val="none" w:sz="0" w:space="0" w:color="auto"/>
                    <w:right w:val="none" w:sz="0" w:space="0" w:color="auto"/>
                  </w:divBdr>
                  <w:divsChild>
                    <w:div w:id="421878249">
                      <w:marLeft w:val="0"/>
                      <w:marRight w:val="0"/>
                      <w:marTop w:val="0"/>
                      <w:marBottom w:val="0"/>
                      <w:divBdr>
                        <w:top w:val="none" w:sz="0" w:space="0" w:color="auto"/>
                        <w:left w:val="none" w:sz="0" w:space="0" w:color="auto"/>
                        <w:bottom w:val="none" w:sz="0" w:space="0" w:color="auto"/>
                        <w:right w:val="none" w:sz="0" w:space="0" w:color="auto"/>
                      </w:divBdr>
                    </w:div>
                  </w:divsChild>
                </w:div>
                <w:div w:id="1907957507">
                  <w:marLeft w:val="0"/>
                  <w:marRight w:val="0"/>
                  <w:marTop w:val="0"/>
                  <w:marBottom w:val="0"/>
                  <w:divBdr>
                    <w:top w:val="none" w:sz="0" w:space="0" w:color="auto"/>
                    <w:left w:val="none" w:sz="0" w:space="0" w:color="auto"/>
                    <w:bottom w:val="none" w:sz="0" w:space="0" w:color="auto"/>
                    <w:right w:val="none" w:sz="0" w:space="0" w:color="auto"/>
                  </w:divBdr>
                  <w:divsChild>
                    <w:div w:id="1736850799">
                      <w:marLeft w:val="0"/>
                      <w:marRight w:val="0"/>
                      <w:marTop w:val="0"/>
                      <w:marBottom w:val="0"/>
                      <w:divBdr>
                        <w:top w:val="none" w:sz="0" w:space="0" w:color="auto"/>
                        <w:left w:val="none" w:sz="0" w:space="0" w:color="auto"/>
                        <w:bottom w:val="none" w:sz="0" w:space="0" w:color="auto"/>
                        <w:right w:val="none" w:sz="0" w:space="0" w:color="auto"/>
                      </w:divBdr>
                    </w:div>
                  </w:divsChild>
                </w:div>
                <w:div w:id="1946039320">
                  <w:marLeft w:val="0"/>
                  <w:marRight w:val="0"/>
                  <w:marTop w:val="0"/>
                  <w:marBottom w:val="0"/>
                  <w:divBdr>
                    <w:top w:val="none" w:sz="0" w:space="0" w:color="auto"/>
                    <w:left w:val="none" w:sz="0" w:space="0" w:color="auto"/>
                    <w:bottom w:val="none" w:sz="0" w:space="0" w:color="auto"/>
                    <w:right w:val="none" w:sz="0" w:space="0" w:color="auto"/>
                  </w:divBdr>
                  <w:divsChild>
                    <w:div w:id="213347475">
                      <w:marLeft w:val="0"/>
                      <w:marRight w:val="0"/>
                      <w:marTop w:val="0"/>
                      <w:marBottom w:val="0"/>
                      <w:divBdr>
                        <w:top w:val="none" w:sz="0" w:space="0" w:color="auto"/>
                        <w:left w:val="none" w:sz="0" w:space="0" w:color="auto"/>
                        <w:bottom w:val="none" w:sz="0" w:space="0" w:color="auto"/>
                        <w:right w:val="none" w:sz="0" w:space="0" w:color="auto"/>
                      </w:divBdr>
                    </w:div>
                  </w:divsChild>
                </w:div>
                <w:div w:id="1953592633">
                  <w:marLeft w:val="0"/>
                  <w:marRight w:val="0"/>
                  <w:marTop w:val="0"/>
                  <w:marBottom w:val="0"/>
                  <w:divBdr>
                    <w:top w:val="none" w:sz="0" w:space="0" w:color="auto"/>
                    <w:left w:val="none" w:sz="0" w:space="0" w:color="auto"/>
                    <w:bottom w:val="none" w:sz="0" w:space="0" w:color="auto"/>
                    <w:right w:val="none" w:sz="0" w:space="0" w:color="auto"/>
                  </w:divBdr>
                  <w:divsChild>
                    <w:div w:id="718162148">
                      <w:marLeft w:val="0"/>
                      <w:marRight w:val="0"/>
                      <w:marTop w:val="0"/>
                      <w:marBottom w:val="0"/>
                      <w:divBdr>
                        <w:top w:val="none" w:sz="0" w:space="0" w:color="auto"/>
                        <w:left w:val="none" w:sz="0" w:space="0" w:color="auto"/>
                        <w:bottom w:val="none" w:sz="0" w:space="0" w:color="auto"/>
                        <w:right w:val="none" w:sz="0" w:space="0" w:color="auto"/>
                      </w:divBdr>
                    </w:div>
                  </w:divsChild>
                </w:div>
                <w:div w:id="1965384447">
                  <w:marLeft w:val="0"/>
                  <w:marRight w:val="0"/>
                  <w:marTop w:val="0"/>
                  <w:marBottom w:val="0"/>
                  <w:divBdr>
                    <w:top w:val="none" w:sz="0" w:space="0" w:color="auto"/>
                    <w:left w:val="none" w:sz="0" w:space="0" w:color="auto"/>
                    <w:bottom w:val="none" w:sz="0" w:space="0" w:color="auto"/>
                    <w:right w:val="none" w:sz="0" w:space="0" w:color="auto"/>
                  </w:divBdr>
                  <w:divsChild>
                    <w:div w:id="1906866855">
                      <w:marLeft w:val="0"/>
                      <w:marRight w:val="0"/>
                      <w:marTop w:val="0"/>
                      <w:marBottom w:val="0"/>
                      <w:divBdr>
                        <w:top w:val="none" w:sz="0" w:space="0" w:color="auto"/>
                        <w:left w:val="none" w:sz="0" w:space="0" w:color="auto"/>
                        <w:bottom w:val="none" w:sz="0" w:space="0" w:color="auto"/>
                        <w:right w:val="none" w:sz="0" w:space="0" w:color="auto"/>
                      </w:divBdr>
                    </w:div>
                  </w:divsChild>
                </w:div>
                <w:div w:id="1968274551">
                  <w:marLeft w:val="0"/>
                  <w:marRight w:val="0"/>
                  <w:marTop w:val="0"/>
                  <w:marBottom w:val="0"/>
                  <w:divBdr>
                    <w:top w:val="none" w:sz="0" w:space="0" w:color="auto"/>
                    <w:left w:val="none" w:sz="0" w:space="0" w:color="auto"/>
                    <w:bottom w:val="none" w:sz="0" w:space="0" w:color="auto"/>
                    <w:right w:val="none" w:sz="0" w:space="0" w:color="auto"/>
                  </w:divBdr>
                  <w:divsChild>
                    <w:div w:id="130292537">
                      <w:marLeft w:val="0"/>
                      <w:marRight w:val="0"/>
                      <w:marTop w:val="0"/>
                      <w:marBottom w:val="0"/>
                      <w:divBdr>
                        <w:top w:val="none" w:sz="0" w:space="0" w:color="auto"/>
                        <w:left w:val="none" w:sz="0" w:space="0" w:color="auto"/>
                        <w:bottom w:val="none" w:sz="0" w:space="0" w:color="auto"/>
                        <w:right w:val="none" w:sz="0" w:space="0" w:color="auto"/>
                      </w:divBdr>
                    </w:div>
                  </w:divsChild>
                </w:div>
                <w:div w:id="1973168551">
                  <w:marLeft w:val="0"/>
                  <w:marRight w:val="0"/>
                  <w:marTop w:val="0"/>
                  <w:marBottom w:val="0"/>
                  <w:divBdr>
                    <w:top w:val="none" w:sz="0" w:space="0" w:color="auto"/>
                    <w:left w:val="none" w:sz="0" w:space="0" w:color="auto"/>
                    <w:bottom w:val="none" w:sz="0" w:space="0" w:color="auto"/>
                    <w:right w:val="none" w:sz="0" w:space="0" w:color="auto"/>
                  </w:divBdr>
                  <w:divsChild>
                    <w:div w:id="499124177">
                      <w:marLeft w:val="0"/>
                      <w:marRight w:val="0"/>
                      <w:marTop w:val="0"/>
                      <w:marBottom w:val="0"/>
                      <w:divBdr>
                        <w:top w:val="none" w:sz="0" w:space="0" w:color="auto"/>
                        <w:left w:val="none" w:sz="0" w:space="0" w:color="auto"/>
                        <w:bottom w:val="none" w:sz="0" w:space="0" w:color="auto"/>
                        <w:right w:val="none" w:sz="0" w:space="0" w:color="auto"/>
                      </w:divBdr>
                    </w:div>
                  </w:divsChild>
                </w:div>
                <w:div w:id="1975283432">
                  <w:marLeft w:val="0"/>
                  <w:marRight w:val="0"/>
                  <w:marTop w:val="0"/>
                  <w:marBottom w:val="0"/>
                  <w:divBdr>
                    <w:top w:val="none" w:sz="0" w:space="0" w:color="auto"/>
                    <w:left w:val="none" w:sz="0" w:space="0" w:color="auto"/>
                    <w:bottom w:val="none" w:sz="0" w:space="0" w:color="auto"/>
                    <w:right w:val="none" w:sz="0" w:space="0" w:color="auto"/>
                  </w:divBdr>
                  <w:divsChild>
                    <w:div w:id="328410374">
                      <w:marLeft w:val="0"/>
                      <w:marRight w:val="0"/>
                      <w:marTop w:val="0"/>
                      <w:marBottom w:val="0"/>
                      <w:divBdr>
                        <w:top w:val="none" w:sz="0" w:space="0" w:color="auto"/>
                        <w:left w:val="none" w:sz="0" w:space="0" w:color="auto"/>
                        <w:bottom w:val="none" w:sz="0" w:space="0" w:color="auto"/>
                        <w:right w:val="none" w:sz="0" w:space="0" w:color="auto"/>
                      </w:divBdr>
                    </w:div>
                  </w:divsChild>
                </w:div>
                <w:div w:id="2032950087">
                  <w:marLeft w:val="0"/>
                  <w:marRight w:val="0"/>
                  <w:marTop w:val="0"/>
                  <w:marBottom w:val="0"/>
                  <w:divBdr>
                    <w:top w:val="none" w:sz="0" w:space="0" w:color="auto"/>
                    <w:left w:val="none" w:sz="0" w:space="0" w:color="auto"/>
                    <w:bottom w:val="none" w:sz="0" w:space="0" w:color="auto"/>
                    <w:right w:val="none" w:sz="0" w:space="0" w:color="auto"/>
                  </w:divBdr>
                </w:div>
                <w:div w:id="2043943325">
                  <w:marLeft w:val="0"/>
                  <w:marRight w:val="0"/>
                  <w:marTop w:val="0"/>
                  <w:marBottom w:val="0"/>
                  <w:divBdr>
                    <w:top w:val="none" w:sz="0" w:space="0" w:color="auto"/>
                    <w:left w:val="none" w:sz="0" w:space="0" w:color="auto"/>
                    <w:bottom w:val="none" w:sz="0" w:space="0" w:color="auto"/>
                    <w:right w:val="none" w:sz="0" w:space="0" w:color="auto"/>
                  </w:divBdr>
                  <w:divsChild>
                    <w:div w:id="882789031">
                      <w:marLeft w:val="0"/>
                      <w:marRight w:val="0"/>
                      <w:marTop w:val="0"/>
                      <w:marBottom w:val="0"/>
                      <w:divBdr>
                        <w:top w:val="none" w:sz="0" w:space="0" w:color="auto"/>
                        <w:left w:val="none" w:sz="0" w:space="0" w:color="auto"/>
                        <w:bottom w:val="none" w:sz="0" w:space="0" w:color="auto"/>
                        <w:right w:val="none" w:sz="0" w:space="0" w:color="auto"/>
                      </w:divBdr>
                    </w:div>
                  </w:divsChild>
                </w:div>
                <w:div w:id="2058772570">
                  <w:marLeft w:val="0"/>
                  <w:marRight w:val="0"/>
                  <w:marTop w:val="0"/>
                  <w:marBottom w:val="0"/>
                  <w:divBdr>
                    <w:top w:val="none" w:sz="0" w:space="0" w:color="auto"/>
                    <w:left w:val="none" w:sz="0" w:space="0" w:color="auto"/>
                    <w:bottom w:val="none" w:sz="0" w:space="0" w:color="auto"/>
                    <w:right w:val="none" w:sz="0" w:space="0" w:color="auto"/>
                  </w:divBdr>
                </w:div>
                <w:div w:id="2059737666">
                  <w:marLeft w:val="0"/>
                  <w:marRight w:val="0"/>
                  <w:marTop w:val="0"/>
                  <w:marBottom w:val="0"/>
                  <w:divBdr>
                    <w:top w:val="none" w:sz="0" w:space="0" w:color="auto"/>
                    <w:left w:val="none" w:sz="0" w:space="0" w:color="auto"/>
                    <w:bottom w:val="none" w:sz="0" w:space="0" w:color="auto"/>
                    <w:right w:val="none" w:sz="0" w:space="0" w:color="auto"/>
                  </w:divBdr>
                  <w:divsChild>
                    <w:div w:id="242876706">
                      <w:marLeft w:val="0"/>
                      <w:marRight w:val="0"/>
                      <w:marTop w:val="0"/>
                      <w:marBottom w:val="0"/>
                      <w:divBdr>
                        <w:top w:val="none" w:sz="0" w:space="0" w:color="auto"/>
                        <w:left w:val="none" w:sz="0" w:space="0" w:color="auto"/>
                        <w:bottom w:val="none" w:sz="0" w:space="0" w:color="auto"/>
                        <w:right w:val="none" w:sz="0" w:space="0" w:color="auto"/>
                      </w:divBdr>
                    </w:div>
                  </w:divsChild>
                </w:div>
                <w:div w:id="2071228338">
                  <w:marLeft w:val="0"/>
                  <w:marRight w:val="0"/>
                  <w:marTop w:val="0"/>
                  <w:marBottom w:val="0"/>
                  <w:divBdr>
                    <w:top w:val="none" w:sz="0" w:space="0" w:color="auto"/>
                    <w:left w:val="none" w:sz="0" w:space="0" w:color="auto"/>
                    <w:bottom w:val="none" w:sz="0" w:space="0" w:color="auto"/>
                    <w:right w:val="none" w:sz="0" w:space="0" w:color="auto"/>
                  </w:divBdr>
                  <w:divsChild>
                    <w:div w:id="715272625">
                      <w:marLeft w:val="0"/>
                      <w:marRight w:val="0"/>
                      <w:marTop w:val="0"/>
                      <w:marBottom w:val="0"/>
                      <w:divBdr>
                        <w:top w:val="none" w:sz="0" w:space="0" w:color="auto"/>
                        <w:left w:val="none" w:sz="0" w:space="0" w:color="auto"/>
                        <w:bottom w:val="none" w:sz="0" w:space="0" w:color="auto"/>
                        <w:right w:val="none" w:sz="0" w:space="0" w:color="auto"/>
                      </w:divBdr>
                    </w:div>
                  </w:divsChild>
                </w:div>
                <w:div w:id="2092114490">
                  <w:marLeft w:val="0"/>
                  <w:marRight w:val="0"/>
                  <w:marTop w:val="0"/>
                  <w:marBottom w:val="0"/>
                  <w:divBdr>
                    <w:top w:val="none" w:sz="0" w:space="0" w:color="auto"/>
                    <w:left w:val="none" w:sz="0" w:space="0" w:color="auto"/>
                    <w:bottom w:val="none" w:sz="0" w:space="0" w:color="auto"/>
                    <w:right w:val="none" w:sz="0" w:space="0" w:color="auto"/>
                  </w:divBdr>
                  <w:divsChild>
                    <w:div w:id="19627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00687">
          <w:marLeft w:val="0"/>
          <w:marRight w:val="0"/>
          <w:marTop w:val="0"/>
          <w:marBottom w:val="0"/>
          <w:divBdr>
            <w:top w:val="none" w:sz="0" w:space="0" w:color="auto"/>
            <w:left w:val="none" w:sz="0" w:space="0" w:color="auto"/>
            <w:bottom w:val="none" w:sz="0" w:space="0" w:color="auto"/>
            <w:right w:val="none" w:sz="0" w:space="0" w:color="auto"/>
          </w:divBdr>
        </w:div>
        <w:div w:id="537083213">
          <w:marLeft w:val="0"/>
          <w:marRight w:val="0"/>
          <w:marTop w:val="0"/>
          <w:marBottom w:val="0"/>
          <w:divBdr>
            <w:top w:val="none" w:sz="0" w:space="0" w:color="auto"/>
            <w:left w:val="none" w:sz="0" w:space="0" w:color="auto"/>
            <w:bottom w:val="none" w:sz="0" w:space="0" w:color="auto"/>
            <w:right w:val="none" w:sz="0" w:space="0" w:color="auto"/>
          </w:divBdr>
        </w:div>
        <w:div w:id="639043244">
          <w:marLeft w:val="0"/>
          <w:marRight w:val="0"/>
          <w:marTop w:val="0"/>
          <w:marBottom w:val="0"/>
          <w:divBdr>
            <w:top w:val="none" w:sz="0" w:space="0" w:color="auto"/>
            <w:left w:val="none" w:sz="0" w:space="0" w:color="auto"/>
            <w:bottom w:val="none" w:sz="0" w:space="0" w:color="auto"/>
            <w:right w:val="none" w:sz="0" w:space="0" w:color="auto"/>
          </w:divBdr>
        </w:div>
        <w:div w:id="653145628">
          <w:marLeft w:val="0"/>
          <w:marRight w:val="0"/>
          <w:marTop w:val="0"/>
          <w:marBottom w:val="0"/>
          <w:divBdr>
            <w:top w:val="none" w:sz="0" w:space="0" w:color="auto"/>
            <w:left w:val="none" w:sz="0" w:space="0" w:color="auto"/>
            <w:bottom w:val="none" w:sz="0" w:space="0" w:color="auto"/>
            <w:right w:val="none" w:sz="0" w:space="0" w:color="auto"/>
          </w:divBdr>
        </w:div>
        <w:div w:id="749929988">
          <w:marLeft w:val="0"/>
          <w:marRight w:val="0"/>
          <w:marTop w:val="0"/>
          <w:marBottom w:val="0"/>
          <w:divBdr>
            <w:top w:val="none" w:sz="0" w:space="0" w:color="auto"/>
            <w:left w:val="none" w:sz="0" w:space="0" w:color="auto"/>
            <w:bottom w:val="none" w:sz="0" w:space="0" w:color="auto"/>
            <w:right w:val="none" w:sz="0" w:space="0" w:color="auto"/>
          </w:divBdr>
        </w:div>
        <w:div w:id="759331486">
          <w:marLeft w:val="0"/>
          <w:marRight w:val="0"/>
          <w:marTop w:val="0"/>
          <w:marBottom w:val="0"/>
          <w:divBdr>
            <w:top w:val="none" w:sz="0" w:space="0" w:color="auto"/>
            <w:left w:val="none" w:sz="0" w:space="0" w:color="auto"/>
            <w:bottom w:val="none" w:sz="0" w:space="0" w:color="auto"/>
            <w:right w:val="none" w:sz="0" w:space="0" w:color="auto"/>
          </w:divBdr>
        </w:div>
        <w:div w:id="932126564">
          <w:marLeft w:val="0"/>
          <w:marRight w:val="0"/>
          <w:marTop w:val="0"/>
          <w:marBottom w:val="0"/>
          <w:divBdr>
            <w:top w:val="none" w:sz="0" w:space="0" w:color="auto"/>
            <w:left w:val="none" w:sz="0" w:space="0" w:color="auto"/>
            <w:bottom w:val="none" w:sz="0" w:space="0" w:color="auto"/>
            <w:right w:val="none" w:sz="0" w:space="0" w:color="auto"/>
          </w:divBdr>
        </w:div>
        <w:div w:id="1053313769">
          <w:marLeft w:val="0"/>
          <w:marRight w:val="0"/>
          <w:marTop w:val="0"/>
          <w:marBottom w:val="0"/>
          <w:divBdr>
            <w:top w:val="none" w:sz="0" w:space="0" w:color="auto"/>
            <w:left w:val="none" w:sz="0" w:space="0" w:color="auto"/>
            <w:bottom w:val="none" w:sz="0" w:space="0" w:color="auto"/>
            <w:right w:val="none" w:sz="0" w:space="0" w:color="auto"/>
          </w:divBdr>
        </w:div>
        <w:div w:id="1305043348">
          <w:marLeft w:val="0"/>
          <w:marRight w:val="0"/>
          <w:marTop w:val="0"/>
          <w:marBottom w:val="0"/>
          <w:divBdr>
            <w:top w:val="none" w:sz="0" w:space="0" w:color="auto"/>
            <w:left w:val="none" w:sz="0" w:space="0" w:color="auto"/>
            <w:bottom w:val="none" w:sz="0" w:space="0" w:color="auto"/>
            <w:right w:val="none" w:sz="0" w:space="0" w:color="auto"/>
          </w:divBdr>
        </w:div>
        <w:div w:id="1359507639">
          <w:marLeft w:val="0"/>
          <w:marRight w:val="0"/>
          <w:marTop w:val="0"/>
          <w:marBottom w:val="0"/>
          <w:divBdr>
            <w:top w:val="none" w:sz="0" w:space="0" w:color="auto"/>
            <w:left w:val="none" w:sz="0" w:space="0" w:color="auto"/>
            <w:bottom w:val="none" w:sz="0" w:space="0" w:color="auto"/>
            <w:right w:val="none" w:sz="0" w:space="0" w:color="auto"/>
          </w:divBdr>
        </w:div>
        <w:div w:id="1403016946">
          <w:marLeft w:val="0"/>
          <w:marRight w:val="0"/>
          <w:marTop w:val="0"/>
          <w:marBottom w:val="0"/>
          <w:divBdr>
            <w:top w:val="none" w:sz="0" w:space="0" w:color="auto"/>
            <w:left w:val="none" w:sz="0" w:space="0" w:color="auto"/>
            <w:bottom w:val="none" w:sz="0" w:space="0" w:color="auto"/>
            <w:right w:val="none" w:sz="0" w:space="0" w:color="auto"/>
          </w:divBdr>
          <w:divsChild>
            <w:div w:id="966395449">
              <w:marLeft w:val="-75"/>
              <w:marRight w:val="0"/>
              <w:marTop w:val="30"/>
              <w:marBottom w:val="30"/>
              <w:divBdr>
                <w:top w:val="none" w:sz="0" w:space="0" w:color="auto"/>
                <w:left w:val="none" w:sz="0" w:space="0" w:color="auto"/>
                <w:bottom w:val="none" w:sz="0" w:space="0" w:color="auto"/>
                <w:right w:val="none" w:sz="0" w:space="0" w:color="auto"/>
              </w:divBdr>
              <w:divsChild>
                <w:div w:id="892425765">
                  <w:marLeft w:val="0"/>
                  <w:marRight w:val="0"/>
                  <w:marTop w:val="0"/>
                  <w:marBottom w:val="0"/>
                  <w:divBdr>
                    <w:top w:val="none" w:sz="0" w:space="0" w:color="auto"/>
                    <w:left w:val="none" w:sz="0" w:space="0" w:color="auto"/>
                    <w:bottom w:val="none" w:sz="0" w:space="0" w:color="auto"/>
                    <w:right w:val="none" w:sz="0" w:space="0" w:color="auto"/>
                  </w:divBdr>
                  <w:divsChild>
                    <w:div w:id="1000887931">
                      <w:marLeft w:val="0"/>
                      <w:marRight w:val="0"/>
                      <w:marTop w:val="0"/>
                      <w:marBottom w:val="0"/>
                      <w:divBdr>
                        <w:top w:val="none" w:sz="0" w:space="0" w:color="auto"/>
                        <w:left w:val="none" w:sz="0" w:space="0" w:color="auto"/>
                        <w:bottom w:val="none" w:sz="0" w:space="0" w:color="auto"/>
                        <w:right w:val="none" w:sz="0" w:space="0" w:color="auto"/>
                      </w:divBdr>
                    </w:div>
                    <w:div w:id="1377001266">
                      <w:marLeft w:val="0"/>
                      <w:marRight w:val="0"/>
                      <w:marTop w:val="0"/>
                      <w:marBottom w:val="0"/>
                      <w:divBdr>
                        <w:top w:val="none" w:sz="0" w:space="0" w:color="auto"/>
                        <w:left w:val="none" w:sz="0" w:space="0" w:color="auto"/>
                        <w:bottom w:val="none" w:sz="0" w:space="0" w:color="auto"/>
                        <w:right w:val="none" w:sz="0" w:space="0" w:color="auto"/>
                      </w:divBdr>
                    </w:div>
                    <w:div w:id="1539127216">
                      <w:marLeft w:val="0"/>
                      <w:marRight w:val="0"/>
                      <w:marTop w:val="0"/>
                      <w:marBottom w:val="0"/>
                      <w:divBdr>
                        <w:top w:val="none" w:sz="0" w:space="0" w:color="auto"/>
                        <w:left w:val="none" w:sz="0" w:space="0" w:color="auto"/>
                        <w:bottom w:val="none" w:sz="0" w:space="0" w:color="auto"/>
                        <w:right w:val="none" w:sz="0" w:space="0" w:color="auto"/>
                      </w:divBdr>
                    </w:div>
                    <w:div w:id="1746146217">
                      <w:marLeft w:val="0"/>
                      <w:marRight w:val="0"/>
                      <w:marTop w:val="0"/>
                      <w:marBottom w:val="0"/>
                      <w:divBdr>
                        <w:top w:val="none" w:sz="0" w:space="0" w:color="auto"/>
                        <w:left w:val="none" w:sz="0" w:space="0" w:color="auto"/>
                        <w:bottom w:val="none" w:sz="0" w:space="0" w:color="auto"/>
                        <w:right w:val="none" w:sz="0" w:space="0" w:color="auto"/>
                      </w:divBdr>
                    </w:div>
                  </w:divsChild>
                </w:div>
                <w:div w:id="1075736530">
                  <w:marLeft w:val="0"/>
                  <w:marRight w:val="0"/>
                  <w:marTop w:val="0"/>
                  <w:marBottom w:val="0"/>
                  <w:divBdr>
                    <w:top w:val="none" w:sz="0" w:space="0" w:color="auto"/>
                    <w:left w:val="none" w:sz="0" w:space="0" w:color="auto"/>
                    <w:bottom w:val="none" w:sz="0" w:space="0" w:color="auto"/>
                    <w:right w:val="none" w:sz="0" w:space="0" w:color="auto"/>
                  </w:divBdr>
                  <w:divsChild>
                    <w:div w:id="748814871">
                      <w:marLeft w:val="0"/>
                      <w:marRight w:val="0"/>
                      <w:marTop w:val="0"/>
                      <w:marBottom w:val="0"/>
                      <w:divBdr>
                        <w:top w:val="none" w:sz="0" w:space="0" w:color="auto"/>
                        <w:left w:val="none" w:sz="0" w:space="0" w:color="auto"/>
                        <w:bottom w:val="none" w:sz="0" w:space="0" w:color="auto"/>
                        <w:right w:val="none" w:sz="0" w:space="0" w:color="auto"/>
                      </w:divBdr>
                    </w:div>
                  </w:divsChild>
                </w:div>
                <w:div w:id="1175657041">
                  <w:marLeft w:val="0"/>
                  <w:marRight w:val="0"/>
                  <w:marTop w:val="0"/>
                  <w:marBottom w:val="0"/>
                  <w:divBdr>
                    <w:top w:val="none" w:sz="0" w:space="0" w:color="auto"/>
                    <w:left w:val="none" w:sz="0" w:space="0" w:color="auto"/>
                    <w:bottom w:val="none" w:sz="0" w:space="0" w:color="auto"/>
                    <w:right w:val="none" w:sz="0" w:space="0" w:color="auto"/>
                  </w:divBdr>
                  <w:divsChild>
                    <w:div w:id="1852796047">
                      <w:marLeft w:val="0"/>
                      <w:marRight w:val="0"/>
                      <w:marTop w:val="0"/>
                      <w:marBottom w:val="0"/>
                      <w:divBdr>
                        <w:top w:val="none" w:sz="0" w:space="0" w:color="auto"/>
                        <w:left w:val="none" w:sz="0" w:space="0" w:color="auto"/>
                        <w:bottom w:val="none" w:sz="0" w:space="0" w:color="auto"/>
                        <w:right w:val="none" w:sz="0" w:space="0" w:color="auto"/>
                      </w:divBdr>
                    </w:div>
                  </w:divsChild>
                </w:div>
                <w:div w:id="1494955445">
                  <w:marLeft w:val="0"/>
                  <w:marRight w:val="0"/>
                  <w:marTop w:val="0"/>
                  <w:marBottom w:val="0"/>
                  <w:divBdr>
                    <w:top w:val="none" w:sz="0" w:space="0" w:color="auto"/>
                    <w:left w:val="none" w:sz="0" w:space="0" w:color="auto"/>
                    <w:bottom w:val="none" w:sz="0" w:space="0" w:color="auto"/>
                    <w:right w:val="none" w:sz="0" w:space="0" w:color="auto"/>
                  </w:divBdr>
                  <w:divsChild>
                    <w:div w:id="606500154">
                      <w:marLeft w:val="0"/>
                      <w:marRight w:val="0"/>
                      <w:marTop w:val="0"/>
                      <w:marBottom w:val="0"/>
                      <w:divBdr>
                        <w:top w:val="none" w:sz="0" w:space="0" w:color="auto"/>
                        <w:left w:val="none" w:sz="0" w:space="0" w:color="auto"/>
                        <w:bottom w:val="none" w:sz="0" w:space="0" w:color="auto"/>
                        <w:right w:val="none" w:sz="0" w:space="0" w:color="auto"/>
                      </w:divBdr>
                    </w:div>
                  </w:divsChild>
                </w:div>
                <w:div w:id="1560898675">
                  <w:marLeft w:val="0"/>
                  <w:marRight w:val="0"/>
                  <w:marTop w:val="0"/>
                  <w:marBottom w:val="0"/>
                  <w:divBdr>
                    <w:top w:val="none" w:sz="0" w:space="0" w:color="auto"/>
                    <w:left w:val="none" w:sz="0" w:space="0" w:color="auto"/>
                    <w:bottom w:val="none" w:sz="0" w:space="0" w:color="auto"/>
                    <w:right w:val="none" w:sz="0" w:space="0" w:color="auto"/>
                  </w:divBdr>
                  <w:divsChild>
                    <w:div w:id="672730192">
                      <w:marLeft w:val="0"/>
                      <w:marRight w:val="0"/>
                      <w:marTop w:val="0"/>
                      <w:marBottom w:val="0"/>
                      <w:divBdr>
                        <w:top w:val="none" w:sz="0" w:space="0" w:color="auto"/>
                        <w:left w:val="none" w:sz="0" w:space="0" w:color="auto"/>
                        <w:bottom w:val="none" w:sz="0" w:space="0" w:color="auto"/>
                        <w:right w:val="none" w:sz="0" w:space="0" w:color="auto"/>
                      </w:divBdr>
                    </w:div>
                    <w:div w:id="1561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8955">
          <w:marLeft w:val="0"/>
          <w:marRight w:val="0"/>
          <w:marTop w:val="0"/>
          <w:marBottom w:val="0"/>
          <w:divBdr>
            <w:top w:val="none" w:sz="0" w:space="0" w:color="auto"/>
            <w:left w:val="none" w:sz="0" w:space="0" w:color="auto"/>
            <w:bottom w:val="none" w:sz="0" w:space="0" w:color="auto"/>
            <w:right w:val="none" w:sz="0" w:space="0" w:color="auto"/>
          </w:divBdr>
        </w:div>
        <w:div w:id="1477992866">
          <w:marLeft w:val="0"/>
          <w:marRight w:val="0"/>
          <w:marTop w:val="0"/>
          <w:marBottom w:val="0"/>
          <w:divBdr>
            <w:top w:val="none" w:sz="0" w:space="0" w:color="auto"/>
            <w:left w:val="none" w:sz="0" w:space="0" w:color="auto"/>
            <w:bottom w:val="none" w:sz="0" w:space="0" w:color="auto"/>
            <w:right w:val="none" w:sz="0" w:space="0" w:color="auto"/>
          </w:divBdr>
        </w:div>
        <w:div w:id="1509296970">
          <w:marLeft w:val="0"/>
          <w:marRight w:val="0"/>
          <w:marTop w:val="0"/>
          <w:marBottom w:val="0"/>
          <w:divBdr>
            <w:top w:val="none" w:sz="0" w:space="0" w:color="auto"/>
            <w:left w:val="none" w:sz="0" w:space="0" w:color="auto"/>
            <w:bottom w:val="none" w:sz="0" w:space="0" w:color="auto"/>
            <w:right w:val="none" w:sz="0" w:space="0" w:color="auto"/>
          </w:divBdr>
        </w:div>
        <w:div w:id="1553073945">
          <w:marLeft w:val="0"/>
          <w:marRight w:val="0"/>
          <w:marTop w:val="0"/>
          <w:marBottom w:val="0"/>
          <w:divBdr>
            <w:top w:val="none" w:sz="0" w:space="0" w:color="auto"/>
            <w:left w:val="none" w:sz="0" w:space="0" w:color="auto"/>
            <w:bottom w:val="none" w:sz="0" w:space="0" w:color="auto"/>
            <w:right w:val="none" w:sz="0" w:space="0" w:color="auto"/>
          </w:divBdr>
        </w:div>
        <w:div w:id="1588078865">
          <w:marLeft w:val="0"/>
          <w:marRight w:val="0"/>
          <w:marTop w:val="0"/>
          <w:marBottom w:val="0"/>
          <w:divBdr>
            <w:top w:val="none" w:sz="0" w:space="0" w:color="auto"/>
            <w:left w:val="none" w:sz="0" w:space="0" w:color="auto"/>
            <w:bottom w:val="none" w:sz="0" w:space="0" w:color="auto"/>
            <w:right w:val="none" w:sz="0" w:space="0" w:color="auto"/>
          </w:divBdr>
        </w:div>
        <w:div w:id="1627933094">
          <w:marLeft w:val="0"/>
          <w:marRight w:val="0"/>
          <w:marTop w:val="0"/>
          <w:marBottom w:val="0"/>
          <w:divBdr>
            <w:top w:val="none" w:sz="0" w:space="0" w:color="auto"/>
            <w:left w:val="none" w:sz="0" w:space="0" w:color="auto"/>
            <w:bottom w:val="none" w:sz="0" w:space="0" w:color="auto"/>
            <w:right w:val="none" w:sz="0" w:space="0" w:color="auto"/>
          </w:divBdr>
        </w:div>
        <w:div w:id="1762069972">
          <w:marLeft w:val="0"/>
          <w:marRight w:val="0"/>
          <w:marTop w:val="0"/>
          <w:marBottom w:val="0"/>
          <w:divBdr>
            <w:top w:val="none" w:sz="0" w:space="0" w:color="auto"/>
            <w:left w:val="none" w:sz="0" w:space="0" w:color="auto"/>
            <w:bottom w:val="none" w:sz="0" w:space="0" w:color="auto"/>
            <w:right w:val="none" w:sz="0" w:space="0" w:color="auto"/>
          </w:divBdr>
        </w:div>
        <w:div w:id="1762751682">
          <w:marLeft w:val="0"/>
          <w:marRight w:val="0"/>
          <w:marTop w:val="0"/>
          <w:marBottom w:val="0"/>
          <w:divBdr>
            <w:top w:val="none" w:sz="0" w:space="0" w:color="auto"/>
            <w:left w:val="none" w:sz="0" w:space="0" w:color="auto"/>
            <w:bottom w:val="none" w:sz="0" w:space="0" w:color="auto"/>
            <w:right w:val="none" w:sz="0" w:space="0" w:color="auto"/>
          </w:divBdr>
        </w:div>
        <w:div w:id="1891577906">
          <w:marLeft w:val="0"/>
          <w:marRight w:val="0"/>
          <w:marTop w:val="0"/>
          <w:marBottom w:val="0"/>
          <w:divBdr>
            <w:top w:val="none" w:sz="0" w:space="0" w:color="auto"/>
            <w:left w:val="none" w:sz="0" w:space="0" w:color="auto"/>
            <w:bottom w:val="none" w:sz="0" w:space="0" w:color="auto"/>
            <w:right w:val="none" w:sz="0" w:space="0" w:color="auto"/>
          </w:divBdr>
        </w:div>
        <w:div w:id="2021855851">
          <w:marLeft w:val="0"/>
          <w:marRight w:val="0"/>
          <w:marTop w:val="0"/>
          <w:marBottom w:val="0"/>
          <w:divBdr>
            <w:top w:val="none" w:sz="0" w:space="0" w:color="auto"/>
            <w:left w:val="none" w:sz="0" w:space="0" w:color="auto"/>
            <w:bottom w:val="none" w:sz="0" w:space="0" w:color="auto"/>
            <w:right w:val="none" w:sz="0" w:space="0" w:color="auto"/>
          </w:divBdr>
        </w:div>
        <w:div w:id="2024504943">
          <w:marLeft w:val="0"/>
          <w:marRight w:val="0"/>
          <w:marTop w:val="0"/>
          <w:marBottom w:val="0"/>
          <w:divBdr>
            <w:top w:val="none" w:sz="0" w:space="0" w:color="auto"/>
            <w:left w:val="none" w:sz="0" w:space="0" w:color="auto"/>
            <w:bottom w:val="none" w:sz="0" w:space="0" w:color="auto"/>
            <w:right w:val="none" w:sz="0" w:space="0" w:color="auto"/>
          </w:divBdr>
        </w:div>
        <w:div w:id="2064480170">
          <w:marLeft w:val="0"/>
          <w:marRight w:val="0"/>
          <w:marTop w:val="0"/>
          <w:marBottom w:val="0"/>
          <w:divBdr>
            <w:top w:val="none" w:sz="0" w:space="0" w:color="auto"/>
            <w:left w:val="none" w:sz="0" w:space="0" w:color="auto"/>
            <w:bottom w:val="none" w:sz="0" w:space="0" w:color="auto"/>
            <w:right w:val="none" w:sz="0" w:space="0" w:color="auto"/>
          </w:divBdr>
        </w:div>
        <w:div w:id="2102287087">
          <w:marLeft w:val="0"/>
          <w:marRight w:val="0"/>
          <w:marTop w:val="0"/>
          <w:marBottom w:val="0"/>
          <w:divBdr>
            <w:top w:val="none" w:sz="0" w:space="0" w:color="auto"/>
            <w:left w:val="none" w:sz="0" w:space="0" w:color="auto"/>
            <w:bottom w:val="none" w:sz="0" w:space="0" w:color="auto"/>
            <w:right w:val="none" w:sz="0" w:space="0" w:color="auto"/>
          </w:divBdr>
        </w:div>
      </w:divsChild>
    </w:div>
    <w:div w:id="1542093085">
      <w:bodyDiv w:val="1"/>
      <w:marLeft w:val="0"/>
      <w:marRight w:val="0"/>
      <w:marTop w:val="0"/>
      <w:marBottom w:val="0"/>
      <w:divBdr>
        <w:top w:val="none" w:sz="0" w:space="0" w:color="auto"/>
        <w:left w:val="none" w:sz="0" w:space="0" w:color="auto"/>
        <w:bottom w:val="none" w:sz="0" w:space="0" w:color="auto"/>
        <w:right w:val="none" w:sz="0" w:space="0" w:color="auto"/>
      </w:divBdr>
      <w:divsChild>
        <w:div w:id="318193871">
          <w:marLeft w:val="0"/>
          <w:marRight w:val="0"/>
          <w:marTop w:val="0"/>
          <w:marBottom w:val="0"/>
          <w:divBdr>
            <w:top w:val="none" w:sz="0" w:space="0" w:color="auto"/>
            <w:left w:val="none" w:sz="0" w:space="0" w:color="auto"/>
            <w:bottom w:val="none" w:sz="0" w:space="0" w:color="auto"/>
            <w:right w:val="none" w:sz="0" w:space="0" w:color="auto"/>
          </w:divBdr>
        </w:div>
        <w:div w:id="869219615">
          <w:marLeft w:val="0"/>
          <w:marRight w:val="0"/>
          <w:marTop w:val="0"/>
          <w:marBottom w:val="0"/>
          <w:divBdr>
            <w:top w:val="none" w:sz="0" w:space="0" w:color="auto"/>
            <w:left w:val="none" w:sz="0" w:space="0" w:color="auto"/>
            <w:bottom w:val="none" w:sz="0" w:space="0" w:color="auto"/>
            <w:right w:val="none" w:sz="0" w:space="0" w:color="auto"/>
          </w:divBdr>
        </w:div>
        <w:div w:id="1666130536">
          <w:marLeft w:val="0"/>
          <w:marRight w:val="0"/>
          <w:marTop w:val="0"/>
          <w:marBottom w:val="0"/>
          <w:divBdr>
            <w:top w:val="none" w:sz="0" w:space="0" w:color="auto"/>
            <w:left w:val="none" w:sz="0" w:space="0" w:color="auto"/>
            <w:bottom w:val="none" w:sz="0" w:space="0" w:color="auto"/>
            <w:right w:val="none" w:sz="0" w:space="0" w:color="auto"/>
          </w:divBdr>
        </w:div>
      </w:divsChild>
    </w:div>
    <w:div w:id="18179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iwu@rm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df9832-fa29-4d0b-8301-c5ccf72ca850" xsi:nil="true"/>
    <_ip_UnifiedCompliancePolicyUIAction xmlns="http://schemas.microsoft.com/sharepoint/v3" xsi:nil="true"/>
    <lcf76f155ced4ddcb4097134ff3c332f xmlns="364da288-88da-48af-9cf0-be86caf5965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7E80DDBF8E0E459A930B93940E7DB9" ma:contentTypeVersion="18" ma:contentTypeDescription="Create a new document." ma:contentTypeScope="" ma:versionID="dff88a0d5fc857efe9bf8ba8d4c6a3c9">
  <xsd:schema xmlns:xsd="http://www.w3.org/2001/XMLSchema" xmlns:xs="http://www.w3.org/2001/XMLSchema" xmlns:p="http://schemas.microsoft.com/office/2006/metadata/properties" xmlns:ns1="http://schemas.microsoft.com/sharepoint/v3" xmlns:ns2="364da288-88da-48af-9cf0-be86caf5965c" xmlns:ns3="edaa3f65-a4bc-4798-8342-1877022639e4" xmlns:ns4="a1df9832-fa29-4d0b-8301-c5ccf72ca850" targetNamespace="http://schemas.microsoft.com/office/2006/metadata/properties" ma:root="true" ma:fieldsID="f948b8a3cfb84492ccebf0465c9b92ac" ns1:_="" ns2:_="" ns3:_="" ns4:_="">
    <xsd:import namespace="http://schemas.microsoft.com/sharepoint/v3"/>
    <xsd:import namespace="364da288-88da-48af-9cf0-be86caf5965c"/>
    <xsd:import namespace="edaa3f65-a4bc-4798-8342-1877022639e4"/>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da288-88da-48af-9cf0-be86caf59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a3f65-a4bc-4798-8342-1877022639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c3dd968-0126-4d7c-8cc6-a3b40c886937}" ma:internalName="TaxCatchAll" ma:showField="CatchAllData" ma:web="edaa3f65-a4bc-4798-8342-187702263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1D235-8F6D-412E-901C-29ACAE39BED9}">
  <ds:schemaRefs>
    <ds:schemaRef ds:uri="http://schemas.microsoft.com/sharepoint/v3/contenttype/forms"/>
  </ds:schemaRefs>
</ds:datastoreItem>
</file>

<file path=customXml/itemProps2.xml><?xml version="1.0" encoding="utf-8"?>
<ds:datastoreItem xmlns:ds="http://schemas.openxmlformats.org/officeDocument/2006/customXml" ds:itemID="{B93A6587-9696-4D37-90A6-0C625A76B751}">
  <ds:schemaRefs>
    <ds:schemaRef ds:uri="http://schemas.microsoft.com/office/2006/metadata/properties"/>
    <ds:schemaRef ds:uri="http://schemas.microsoft.com/office/infopath/2007/PartnerControls"/>
    <ds:schemaRef ds:uri="a1df9832-fa29-4d0b-8301-c5ccf72ca850"/>
    <ds:schemaRef ds:uri="http://schemas.microsoft.com/sharepoint/v3"/>
    <ds:schemaRef ds:uri="364da288-88da-48af-9cf0-be86caf5965c"/>
  </ds:schemaRefs>
</ds:datastoreItem>
</file>

<file path=customXml/itemProps3.xml><?xml version="1.0" encoding="utf-8"?>
<ds:datastoreItem xmlns:ds="http://schemas.openxmlformats.org/officeDocument/2006/customXml" ds:itemID="{4A5625EB-5B73-4A9B-90E6-7D2D4B7D8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da288-88da-48af-9cf0-be86caf5965c"/>
    <ds:schemaRef ds:uri="edaa3f65-a4bc-4798-8342-1877022639e4"/>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21</Pages>
  <Words>4076</Words>
  <Characters>25886</Characters>
  <Application>Microsoft Office Word</Application>
  <DocSecurity>0</DocSecurity>
  <Lines>616</Lines>
  <Paragraphs>384</Paragraphs>
  <ScaleCrop>false</ScaleCrop>
  <Company/>
  <LinksUpToDate>false</LinksUpToDate>
  <CharactersWithSpaces>29578</CharactersWithSpaces>
  <SharedDoc>false</SharedDoc>
  <HLinks>
    <vt:vector size="6" baseType="variant">
      <vt:variant>
        <vt:i4>7143500</vt:i4>
      </vt:variant>
      <vt:variant>
        <vt:i4>0</vt:i4>
      </vt:variant>
      <vt:variant>
        <vt:i4>0</vt:i4>
      </vt:variant>
      <vt:variant>
        <vt:i4>5</vt:i4>
      </vt:variant>
      <vt:variant>
        <vt:lpwstr>mailto:iwu@rmi.org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Cool</dc:creator>
  <cp:keywords/>
  <dc:description/>
  <cp:lastModifiedBy>Vera Vinson</cp:lastModifiedBy>
  <cp:revision>3658</cp:revision>
  <dcterms:created xsi:type="dcterms:W3CDTF">2026-02-05T22:05:00Z</dcterms:created>
  <dcterms:modified xsi:type="dcterms:W3CDTF">2026-03-05T21:19:00Z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811e3c0c0214fc6bb33522f4837a579">
    <vt:lpwstr>Restricted - Internal use only|16e0e62b-45fc-43f2-9316-8e87a381ed63</vt:lpwstr>
  </property>
  <property fmtid="{D5CDD505-2E9C-101B-9397-08002B2CF9AE}" pid="3" name="e8144e7327f648c595f8fe404acef197">
    <vt:lpwstr>Draft|1196e416-c1e2-46e4-892a-39f21fb650b4</vt:lpwstr>
  </property>
  <property fmtid="{D5CDD505-2E9C-101B-9397-08002B2CF9AE}" pid="4" name="Technology">
    <vt:lpwstr/>
  </property>
  <property fmtid="{D5CDD505-2E9C-101B-9397-08002B2CF9AE}" pid="5" name="Countries Impacted">
    <vt:lpwstr/>
  </property>
  <property fmtid="{D5CDD505-2E9C-101B-9397-08002B2CF9AE}" pid="6" name="Initiative">
    <vt:lpwstr/>
  </property>
  <property fmtid="{D5CDD505-2E9C-101B-9397-08002B2CF9AE}" pid="7" name="Document Status">
    <vt:lpwstr>1;#Draft|1196e416-c1e2-46e4-892a-39f21fb650b4</vt:lpwstr>
  </property>
  <property fmtid="{D5CDD505-2E9C-101B-9397-08002B2CF9AE}" pid="8" name="Program">
    <vt:lpwstr/>
  </property>
  <property fmtid="{D5CDD505-2E9C-101B-9397-08002B2CF9AE}" pid="9" name="Legal Designation">
    <vt:lpwstr>2;#Restricted - Internal use only|16e0e62b-45fc-43f2-9316-8e87a381ed63</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Document_x0020_Status">
    <vt:lpwstr>1;#Draft|1196e416-c1e2-46e4-892a-39f21fb650b4</vt:lpwstr>
  </property>
  <property fmtid="{D5CDD505-2E9C-101B-9397-08002B2CF9AE}" pid="13" name="Legal_x0020_Designation">
    <vt:lpwstr>2;#Restricted - Internal use only|16e0e62b-45fc-43f2-9316-8e87a381ed63</vt:lpwstr>
  </property>
  <property fmtid="{D5CDD505-2E9C-101B-9397-08002B2CF9AE}" pid="14" name="Countries_x0020_Impacted">
    <vt:lpwstr/>
  </property>
  <property fmtid="{D5CDD505-2E9C-101B-9397-08002B2CF9AE}" pid="15" name="ContentTypeId">
    <vt:lpwstr>0x010100B77E80DDBF8E0E459A930B93940E7DB9</vt:lpwstr>
  </property>
  <property fmtid="{D5CDD505-2E9C-101B-9397-08002B2CF9AE}" pid="16" name="docLang">
    <vt:lpwstr>en</vt:lpwstr>
  </property>
</Properties>
</file>