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CAE5" w14:textId="625AA83B" w:rsidR="00D921A4" w:rsidRPr="00A9365E" w:rsidRDefault="00D921A4">
      <w:pPr>
        <w:rPr>
          <w:rFonts w:ascii="Tw Cen MT" w:eastAsia="MS Mincho" w:hAnsi="Tw Cen MT" w:cs="Arial"/>
          <w:b/>
          <w:bCs/>
          <w:color w:val="000000"/>
          <w:kern w:val="0"/>
          <w:sz w:val="28"/>
          <w:szCs w:val="28"/>
          <w:lang w:eastAsia="ja-JP"/>
          <w14:ligatures w14:val="none"/>
        </w:rPr>
      </w:pPr>
    </w:p>
    <w:p w14:paraId="33C77E29" w14:textId="77777777" w:rsidR="006609E4" w:rsidRPr="00A9365E" w:rsidRDefault="006609E4">
      <w:pPr>
        <w:rPr>
          <w:rFonts w:ascii="Tw Cen MT" w:eastAsia="MS Mincho" w:hAnsi="Tw Cen MT" w:cs="Arial"/>
          <w:b/>
          <w:bCs/>
          <w:color w:val="000000"/>
          <w:kern w:val="0"/>
          <w:sz w:val="28"/>
          <w:szCs w:val="28"/>
          <w:lang w:eastAsia="ja-JP"/>
          <w14:ligatures w14:val="none"/>
        </w:rPr>
      </w:pPr>
    </w:p>
    <w:p w14:paraId="31185840" w14:textId="77777777" w:rsidR="006609E4" w:rsidRPr="00A9365E" w:rsidRDefault="006609E4">
      <w:pPr>
        <w:rPr>
          <w:rFonts w:ascii="Tw Cen MT" w:eastAsia="MS Mincho" w:hAnsi="Tw Cen MT" w:cs="Arial"/>
          <w:b/>
          <w:bCs/>
          <w:color w:val="000000"/>
          <w:kern w:val="0"/>
          <w:sz w:val="28"/>
          <w:szCs w:val="28"/>
          <w:lang w:eastAsia="ja-JP"/>
          <w14:ligatures w14:val="none"/>
        </w:rPr>
      </w:pPr>
    </w:p>
    <w:p w14:paraId="72D63740" w14:textId="77777777" w:rsidR="006609E4" w:rsidRPr="00A9365E" w:rsidRDefault="006609E4">
      <w:pPr>
        <w:rPr>
          <w:rFonts w:ascii="Tw Cen MT" w:eastAsia="MS Mincho" w:hAnsi="Tw Cen MT" w:cs="Arial"/>
          <w:b/>
          <w:bCs/>
          <w:color w:val="000000"/>
          <w:kern w:val="0"/>
          <w:sz w:val="28"/>
          <w:szCs w:val="28"/>
          <w:lang w:eastAsia="ja-JP"/>
          <w14:ligatures w14:val="none"/>
        </w:rPr>
      </w:pPr>
    </w:p>
    <w:p w14:paraId="2569CAD2" w14:textId="77777777" w:rsidR="006609E4" w:rsidRPr="00A9365E" w:rsidRDefault="006609E4">
      <w:pPr>
        <w:rPr>
          <w:rFonts w:ascii="Tw Cen MT" w:eastAsia="MS Mincho" w:hAnsi="Tw Cen MT" w:cs="Arial"/>
          <w:b/>
          <w:bCs/>
          <w:color w:val="000000"/>
          <w:kern w:val="0"/>
          <w:sz w:val="28"/>
          <w:szCs w:val="28"/>
          <w:lang w:eastAsia="ja-JP"/>
          <w14:ligatures w14:val="none"/>
        </w:rPr>
      </w:pPr>
    </w:p>
    <w:p w14:paraId="3E07CD7B" w14:textId="77777777" w:rsidR="006609E4" w:rsidRPr="00A9365E" w:rsidRDefault="006609E4">
      <w:pPr>
        <w:rPr>
          <w:rFonts w:ascii="Tw Cen MT" w:eastAsia="MS Mincho" w:hAnsi="Tw Cen MT" w:cs="Arial"/>
          <w:b/>
          <w:bCs/>
          <w:color w:val="000000"/>
          <w:kern w:val="0"/>
          <w:sz w:val="28"/>
          <w:szCs w:val="28"/>
          <w:lang w:eastAsia="ja-JP"/>
          <w14:ligatures w14:val="none"/>
        </w:rPr>
      </w:pPr>
    </w:p>
    <w:p w14:paraId="578B60A8" w14:textId="77777777" w:rsidR="006609E4" w:rsidRPr="00A9365E" w:rsidRDefault="006609E4" w:rsidP="00E142C1">
      <w:pPr>
        <w:jc w:val="center"/>
        <w:rPr>
          <w:rFonts w:ascii="Tw Cen MT" w:eastAsia="MS Mincho" w:hAnsi="Tw Cen MT" w:cs="Arial"/>
          <w:b/>
          <w:bCs/>
          <w:color w:val="000000"/>
          <w:kern w:val="0"/>
          <w:sz w:val="28"/>
          <w:szCs w:val="28"/>
          <w:lang w:eastAsia="ja-JP"/>
          <w14:ligatures w14:val="none"/>
        </w:rPr>
      </w:pPr>
    </w:p>
    <w:p w14:paraId="1BDDE33D" w14:textId="2FDA6396" w:rsidR="00D921A4" w:rsidRPr="00A9365E" w:rsidRDefault="00D921A4" w:rsidP="00E142C1">
      <w:pPr>
        <w:pStyle w:val="paragraph"/>
        <w:spacing w:before="0" w:beforeAutospacing="0" w:after="0" w:afterAutospacing="0"/>
        <w:jc w:val="center"/>
        <w:textAlignment w:val="baseline"/>
        <w:rPr>
          <w:rFonts w:ascii="Tw Cen MT" w:hAnsi="Tw Cen MT" w:cs="Segoe UI"/>
          <w:sz w:val="18"/>
          <w:szCs w:val="18"/>
        </w:rPr>
      </w:pPr>
      <w:r w:rsidRPr="00A9365E">
        <w:rPr>
          <w:rStyle w:val="normaltextrun"/>
          <w:rFonts w:ascii="Tw Cen MT" w:hAnsi="Tw Cen MT" w:cs="Segoe UI"/>
          <w:b/>
          <w:bCs/>
          <w:color w:val="1F497D"/>
          <w:sz w:val="52"/>
          <w:szCs w:val="52"/>
        </w:rPr>
        <w:t>Transaction Term Sheets Considerations for Commercial &amp; Industrial Utility-Enabled Distributed Energy Resources Business Model</w:t>
      </w:r>
    </w:p>
    <w:p w14:paraId="2A636A83"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hAnsi="Tw Cen MT" w:cs="Segoe UI"/>
          <w:color w:val="1F497D"/>
          <w:sz w:val="52"/>
          <w:szCs w:val="52"/>
        </w:rPr>
        <w:t> </w:t>
      </w:r>
    </w:p>
    <w:p w14:paraId="42F9E4C7"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hAnsi="Tw Cen MT" w:cs="Segoe UI"/>
          <w:color w:val="1F497D"/>
          <w:sz w:val="72"/>
          <w:szCs w:val="72"/>
        </w:rPr>
        <w:t> </w:t>
      </w:r>
    </w:p>
    <w:p w14:paraId="07CA812F" w14:textId="619AC8CD" w:rsidR="00D921A4" w:rsidRPr="00A9365E" w:rsidRDefault="00D921A4" w:rsidP="5284E246">
      <w:pPr>
        <w:pStyle w:val="paragraph"/>
        <w:spacing w:before="0" w:beforeAutospacing="0" w:after="0" w:afterAutospacing="0"/>
        <w:jc w:val="center"/>
        <w:textAlignment w:val="baseline"/>
        <w:rPr>
          <w:rStyle w:val="normaltextrun"/>
          <w:rFonts w:ascii="Tw Cen MT" w:hAnsi="Tw Cen MT" w:cs="Segoe UI"/>
          <w:b/>
          <w:bCs/>
          <w:color w:val="C00000"/>
          <w:sz w:val="32"/>
          <w:szCs w:val="32"/>
        </w:rPr>
      </w:pPr>
      <w:r w:rsidRPr="5284E246">
        <w:rPr>
          <w:rStyle w:val="scxw107762745"/>
          <w:rFonts w:ascii="Tw Cen MT" w:hAnsi="Tw Cen MT"/>
        </w:rPr>
        <w:t> </w:t>
      </w:r>
      <w:r>
        <w:br/>
      </w:r>
      <w:r w:rsidRPr="5284E246">
        <w:rPr>
          <w:rStyle w:val="scxw107762745"/>
          <w:rFonts w:ascii="Tw Cen MT" w:hAnsi="Tw Cen MT"/>
        </w:rPr>
        <w:t> </w:t>
      </w:r>
      <w:r>
        <w:br/>
      </w:r>
    </w:p>
    <w:p w14:paraId="6D8C5439" w14:textId="465C5304" w:rsidR="00D921A4" w:rsidRPr="00A9365E" w:rsidRDefault="00D921A4" w:rsidP="63688112">
      <w:pPr>
        <w:pStyle w:val="paragraph"/>
        <w:spacing w:before="0" w:beforeAutospacing="0" w:after="0" w:afterAutospacing="0"/>
        <w:jc w:val="center"/>
        <w:textAlignment w:val="baseline"/>
        <w:rPr>
          <w:rFonts w:ascii="Tw Cen MT" w:hAnsi="Tw Cen MT" w:cs="Segoe UI"/>
          <w:sz w:val="18"/>
          <w:szCs w:val="18"/>
        </w:rPr>
      </w:pPr>
      <w:r w:rsidRPr="63688112">
        <w:rPr>
          <w:rStyle w:val="eop"/>
          <w:rFonts w:ascii="Tw Cen MT" w:hAnsi="Tw Cen MT" w:cs="Segoe UI"/>
        </w:rPr>
        <w:t> </w:t>
      </w:r>
    </w:p>
    <w:p w14:paraId="3FA40C0A" w14:textId="512CF5BF" w:rsidR="00D921A4" w:rsidRPr="00A9365E" w:rsidRDefault="39518EFC" w:rsidP="5284E246">
      <w:pPr>
        <w:pStyle w:val="paragraph"/>
        <w:spacing w:before="0" w:beforeAutospacing="0" w:after="0" w:afterAutospacing="0"/>
        <w:jc w:val="center"/>
        <w:textAlignment w:val="baseline"/>
        <w:rPr>
          <w:rFonts w:ascii="Tw Cen MT" w:hAnsi="Tw Cen MT" w:cs="Segoe UI"/>
          <w:sz w:val="18"/>
          <w:szCs w:val="18"/>
        </w:rPr>
      </w:pPr>
      <w:r w:rsidRPr="63688112">
        <w:rPr>
          <w:rStyle w:val="scxw107762745"/>
          <w:rFonts w:ascii="Tw Cen MT" w:hAnsi="Tw Cen MT"/>
        </w:rPr>
        <w:t>May</w:t>
      </w:r>
      <w:r w:rsidR="00D921A4" w:rsidRPr="63688112">
        <w:rPr>
          <w:rStyle w:val="scxw107762745"/>
          <w:rFonts w:ascii="Tw Cen MT" w:hAnsi="Tw Cen MT"/>
        </w:rPr>
        <w:t> </w:t>
      </w:r>
      <w:r w:rsidR="00D921A4" w:rsidRPr="63688112">
        <w:rPr>
          <w:rStyle w:val="normaltextrun"/>
          <w:rFonts w:ascii="Times" w:eastAsia="Times" w:hAnsi="Times" w:cs="Times"/>
          <w:smallCaps/>
        </w:rPr>
        <w:t>202</w:t>
      </w:r>
      <w:r w:rsidR="00F27998" w:rsidRPr="63688112">
        <w:rPr>
          <w:rStyle w:val="normaltextrun"/>
          <w:rFonts w:ascii="Times" w:eastAsia="Times" w:hAnsi="Times" w:cs="Times"/>
          <w:smallCaps/>
        </w:rPr>
        <w:t>4</w:t>
      </w:r>
      <w:r w:rsidR="00D921A4" w:rsidRPr="63688112">
        <w:rPr>
          <w:rStyle w:val="scxw107762745"/>
          <w:rFonts w:ascii="Times" w:eastAsia="Times" w:hAnsi="Times" w:cs="Times"/>
        </w:rPr>
        <w:t> </w:t>
      </w:r>
      <w:r w:rsidR="00D921A4">
        <w:br/>
      </w:r>
    </w:p>
    <w:p w14:paraId="402B6740" w14:textId="1230DC25" w:rsidR="006609E4" w:rsidRPr="00A9365E" w:rsidRDefault="00F572F5">
      <w:pPr>
        <w:rPr>
          <w:rFonts w:ascii="Tw Cen MT" w:eastAsia="MS Gothic" w:hAnsi="Tw Cen MT" w:cs="Arial"/>
          <w:b/>
          <w:bCs/>
          <w:color w:val="1F497D"/>
          <w:kern w:val="0"/>
          <w:sz w:val="26"/>
          <w:szCs w:val="26"/>
          <w:lang w:eastAsia="ja-JP"/>
          <w14:ligatures w14:val="none"/>
        </w:rPr>
      </w:pPr>
      <w:r w:rsidRPr="00A9365E">
        <w:rPr>
          <w:rFonts w:ascii="Tw Cen MT" w:hAnsi="Tw Cen MT" w:cs="Arial"/>
          <w:noProof/>
        </w:rPr>
        <w:drawing>
          <wp:anchor distT="0" distB="0" distL="114300" distR="114300" simplePos="0" relativeHeight="251658240" behindDoc="1" locked="0" layoutInCell="1" allowOverlap="1" wp14:anchorId="6C9BC9A4" wp14:editId="777A29B7">
            <wp:simplePos x="0" y="0"/>
            <wp:positionH relativeFrom="margin">
              <wp:align>center</wp:align>
            </wp:positionH>
            <wp:positionV relativeFrom="paragraph">
              <wp:posOffset>1216324</wp:posOffset>
            </wp:positionV>
            <wp:extent cx="2304829" cy="647700"/>
            <wp:effectExtent l="0" t="0" r="635" b="0"/>
            <wp:wrapNone/>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a:srcRect/>
                    <a:stretch/>
                  </pic:blipFill>
                  <pic:spPr>
                    <a:xfrm>
                      <a:off x="0" y="0"/>
                      <a:ext cx="2304829" cy="647700"/>
                    </a:xfrm>
                    <a:prstGeom prst="rect">
                      <a:avLst/>
                    </a:prstGeom>
                  </pic:spPr>
                </pic:pic>
              </a:graphicData>
            </a:graphic>
            <wp14:sizeRelH relativeFrom="margin">
              <wp14:pctWidth>0</wp14:pctWidth>
            </wp14:sizeRelH>
            <wp14:sizeRelV relativeFrom="margin">
              <wp14:pctHeight>0</wp14:pctHeight>
            </wp14:sizeRelV>
          </wp:anchor>
        </w:drawing>
      </w:r>
      <w:r w:rsidR="006609E4" w:rsidRPr="00A9365E">
        <w:rPr>
          <w:rFonts w:ascii="Tw Cen MT" w:eastAsia="MS Gothic" w:hAnsi="Tw Cen MT" w:cs="Arial"/>
          <w:b/>
          <w:bCs/>
          <w:color w:val="1F497D"/>
          <w:kern w:val="0"/>
          <w:sz w:val="26"/>
          <w:szCs w:val="26"/>
          <w:lang w:eastAsia="ja-JP"/>
          <w14:ligatures w14:val="none"/>
        </w:rPr>
        <w:br w:type="page"/>
      </w:r>
    </w:p>
    <w:p w14:paraId="56AF7D44" w14:textId="77777777" w:rsidR="007F4677" w:rsidRPr="00A9365E" w:rsidRDefault="007F4677">
      <w:pPr>
        <w:rPr>
          <w:rFonts w:ascii="Tw Cen MT" w:eastAsia="MS Gothic" w:hAnsi="Tw Cen MT" w:cs="Arial"/>
          <w:b/>
          <w:bCs/>
          <w:color w:val="1F497D"/>
          <w:kern w:val="0"/>
          <w:sz w:val="26"/>
          <w:szCs w:val="26"/>
          <w:lang w:eastAsia="ja-JP"/>
          <w14:ligatures w14:val="none"/>
        </w:rPr>
      </w:pPr>
    </w:p>
    <w:p w14:paraId="66621F3A" w14:textId="519BAE5A" w:rsidR="005E6F0E" w:rsidRPr="00A9365E" w:rsidRDefault="0086512D" w:rsidP="005E6F0E">
      <w:pPr>
        <w:pStyle w:val="ListParagraph"/>
        <w:keepNext/>
        <w:keepLines/>
        <w:numPr>
          <w:ilvl w:val="0"/>
          <w:numId w:val="6"/>
        </w:numPr>
        <w:spacing w:before="200"/>
        <w:ind w:left="270" w:hanging="270"/>
        <w:jc w:val="both"/>
        <w:outlineLvl w:val="1"/>
        <w:rPr>
          <w:rFonts w:eastAsia="MS Gothic" w:cs="Arial"/>
          <w:b/>
          <w:bCs/>
          <w:color w:val="1F497D"/>
          <w:kern w:val="0"/>
          <w:sz w:val="26"/>
          <w:szCs w:val="26"/>
          <w:lang w:eastAsia="ja-JP"/>
          <w14:ligatures w14:val="none"/>
        </w:rPr>
      </w:pPr>
      <w:r w:rsidRPr="00A9365E">
        <w:rPr>
          <w:rFonts w:eastAsia="MS Gothic" w:cs="Arial"/>
          <w:b/>
          <w:bCs/>
          <w:color w:val="1F497D"/>
          <w:kern w:val="0"/>
          <w:sz w:val="26"/>
          <w:szCs w:val="26"/>
          <w:lang w:eastAsia="ja-JP"/>
          <w14:ligatures w14:val="none"/>
        </w:rPr>
        <w:t>Introduction</w:t>
      </w:r>
      <w:r w:rsidR="00232AD1" w:rsidRPr="00A9365E">
        <w:rPr>
          <w:rFonts w:eastAsia="MS Gothic" w:cs="Arial"/>
          <w:b/>
          <w:bCs/>
          <w:color w:val="1F497D"/>
          <w:kern w:val="0"/>
          <w:sz w:val="26"/>
          <w:szCs w:val="26"/>
          <w:lang w:eastAsia="ja-JP"/>
          <w14:ligatures w14:val="none"/>
        </w:rPr>
        <w:t xml:space="preserve"> </w:t>
      </w:r>
    </w:p>
    <w:p w14:paraId="3F3FE510" w14:textId="77592648" w:rsidR="001D7C39" w:rsidRDefault="00232AD1" w:rsidP="003F0B1F">
      <w:pPr>
        <w:spacing w:line="300" w:lineRule="exact"/>
        <w:jc w:val="both"/>
        <w:rPr>
          <w:rFonts w:ascii="Tw Cen MT" w:eastAsia="MS Mincho" w:hAnsi="Tw Cen MT" w:cs="Arial"/>
          <w:color w:val="000000"/>
          <w:kern w:val="0"/>
          <w:sz w:val="22"/>
          <w:szCs w:val="22"/>
          <w:lang w:eastAsia="ja-JP"/>
          <w14:ligatures w14:val="none"/>
        </w:rPr>
      </w:pPr>
      <w:r w:rsidRPr="00A9365E">
        <w:rPr>
          <w:rFonts w:ascii="Tw Cen MT" w:eastAsia="MS Mincho" w:hAnsi="Tw Cen MT" w:cs="Arial"/>
          <w:color w:val="000000"/>
          <w:kern w:val="0"/>
          <w:sz w:val="22"/>
          <w:szCs w:val="22"/>
          <w:lang w:eastAsia="ja-JP"/>
          <w14:ligatures w14:val="none"/>
        </w:rPr>
        <w:t>Th</w:t>
      </w:r>
      <w:r w:rsidR="00951C5C" w:rsidRPr="00A9365E">
        <w:rPr>
          <w:rFonts w:ascii="Tw Cen MT" w:eastAsia="MS Mincho" w:hAnsi="Tw Cen MT" w:cs="Arial"/>
          <w:color w:val="000000"/>
          <w:kern w:val="0"/>
          <w:sz w:val="22"/>
          <w:szCs w:val="22"/>
          <w:lang w:eastAsia="ja-JP"/>
          <w14:ligatures w14:val="none"/>
        </w:rPr>
        <w:t>is</w:t>
      </w:r>
      <w:r w:rsidRPr="00A9365E">
        <w:rPr>
          <w:rFonts w:ascii="Tw Cen MT" w:eastAsia="MS Mincho" w:hAnsi="Tw Cen MT" w:cs="Arial"/>
          <w:color w:val="000000"/>
          <w:kern w:val="0"/>
          <w:sz w:val="22"/>
          <w:szCs w:val="22"/>
          <w:lang w:eastAsia="ja-JP"/>
          <w14:ligatures w14:val="none"/>
        </w:rPr>
        <w:t xml:space="preserve"> document </w:t>
      </w:r>
      <w:r w:rsidR="00A0557E">
        <w:rPr>
          <w:rFonts w:ascii="Tw Cen MT" w:eastAsia="MS Mincho" w:hAnsi="Tw Cen MT" w:cs="Arial"/>
          <w:color w:val="000000"/>
          <w:kern w:val="0"/>
          <w:sz w:val="22"/>
          <w:szCs w:val="22"/>
          <w:lang w:eastAsia="ja-JP"/>
          <w14:ligatures w14:val="none"/>
        </w:rPr>
        <w:t>is intended as a</w:t>
      </w:r>
      <w:r w:rsidR="00FC4797" w:rsidRPr="00A9365E">
        <w:rPr>
          <w:rFonts w:ascii="Tw Cen MT" w:eastAsia="MS Mincho" w:hAnsi="Tw Cen MT" w:cs="Arial"/>
          <w:color w:val="000000"/>
          <w:kern w:val="0"/>
          <w:sz w:val="22"/>
          <w:szCs w:val="22"/>
          <w:lang w:eastAsia="ja-JP"/>
          <w14:ligatures w14:val="none"/>
        </w:rPr>
        <w:t xml:space="preserve"> template for the key transaction term sheets </w:t>
      </w:r>
      <w:r w:rsidR="0048698D">
        <w:rPr>
          <w:rFonts w:ascii="Tw Cen MT" w:eastAsia="MS Mincho" w:hAnsi="Tw Cen MT" w:cs="Arial"/>
          <w:color w:val="000000"/>
          <w:kern w:val="0"/>
          <w:sz w:val="22"/>
          <w:szCs w:val="22"/>
          <w:lang w:eastAsia="ja-JP"/>
          <w14:ligatures w14:val="none"/>
        </w:rPr>
        <w:t>for</w:t>
      </w:r>
      <w:r w:rsidR="00AC2D8B">
        <w:rPr>
          <w:rFonts w:ascii="Tw Cen MT" w:eastAsia="MS Mincho" w:hAnsi="Tw Cen MT" w:cs="Arial"/>
          <w:color w:val="000000"/>
          <w:kern w:val="0"/>
          <w:sz w:val="22"/>
          <w:szCs w:val="22"/>
          <w:lang w:eastAsia="ja-JP"/>
          <w14:ligatures w14:val="none"/>
        </w:rPr>
        <w:t xml:space="preserve"> </w:t>
      </w:r>
      <w:r w:rsidR="00CB0047">
        <w:rPr>
          <w:rFonts w:ascii="Tw Cen MT" w:eastAsia="MS Mincho" w:hAnsi="Tw Cen MT" w:cs="Arial"/>
          <w:color w:val="000000"/>
          <w:kern w:val="0"/>
          <w:sz w:val="22"/>
          <w:szCs w:val="22"/>
          <w:lang w:eastAsia="ja-JP"/>
          <w14:ligatures w14:val="none"/>
        </w:rPr>
        <w:t xml:space="preserve">Electric Distribution Companies (DisCos/utilities) and </w:t>
      </w:r>
      <w:r w:rsidR="003053D0" w:rsidRPr="00A9365E">
        <w:rPr>
          <w:rFonts w:ascii="Tw Cen MT" w:eastAsia="MS Mincho" w:hAnsi="Tw Cen MT" w:cs="Arial"/>
          <w:color w:val="000000"/>
          <w:kern w:val="0"/>
          <w:sz w:val="22"/>
          <w:szCs w:val="22"/>
          <w:lang w:eastAsia="ja-JP"/>
          <w14:ligatures w14:val="none"/>
        </w:rPr>
        <w:t xml:space="preserve">for DER developers </w:t>
      </w:r>
      <w:r w:rsidR="008F1F15" w:rsidRPr="00A9365E">
        <w:rPr>
          <w:rFonts w:ascii="Tw Cen MT" w:eastAsia="MS Mincho" w:hAnsi="Tw Cen MT" w:cs="Arial"/>
          <w:color w:val="000000"/>
          <w:kern w:val="0"/>
          <w:sz w:val="22"/>
          <w:szCs w:val="22"/>
          <w:lang w:eastAsia="ja-JP"/>
          <w14:ligatures w14:val="none"/>
        </w:rPr>
        <w:t xml:space="preserve">to </w:t>
      </w:r>
      <w:r w:rsidR="4E58DB3E" w:rsidRPr="00A9365E">
        <w:rPr>
          <w:rFonts w:ascii="Tw Cen MT" w:eastAsia="MS Mincho" w:hAnsi="Tw Cen MT" w:cs="Arial"/>
          <w:color w:val="000000"/>
          <w:kern w:val="0"/>
          <w:sz w:val="22"/>
          <w:szCs w:val="22"/>
          <w:lang w:eastAsia="ja-JP"/>
          <w14:ligatures w14:val="none"/>
        </w:rPr>
        <w:t xml:space="preserve">augment </w:t>
      </w:r>
      <w:r w:rsidR="00C76C44" w:rsidRPr="00A9365E">
        <w:rPr>
          <w:rFonts w:ascii="Tw Cen MT" w:eastAsia="MS Mincho" w:hAnsi="Tw Cen MT" w:cs="Arial"/>
          <w:color w:val="000000"/>
          <w:kern w:val="0"/>
          <w:sz w:val="22"/>
          <w:szCs w:val="22"/>
          <w:lang w:eastAsia="ja-JP"/>
          <w14:ligatures w14:val="none"/>
        </w:rPr>
        <w:t>electricity</w:t>
      </w:r>
      <w:r w:rsidR="4E58DB3E" w:rsidRPr="00A9365E">
        <w:rPr>
          <w:rFonts w:ascii="Tw Cen MT" w:eastAsia="MS Mincho" w:hAnsi="Tw Cen MT" w:cs="Arial"/>
          <w:color w:val="000000"/>
          <w:kern w:val="0"/>
          <w:sz w:val="22"/>
          <w:szCs w:val="22"/>
          <w:lang w:eastAsia="ja-JP"/>
          <w14:ligatures w14:val="none"/>
        </w:rPr>
        <w:t xml:space="preserve"> supply</w:t>
      </w:r>
      <w:r w:rsidR="73F1731A" w:rsidRPr="00A9365E">
        <w:rPr>
          <w:rFonts w:ascii="Tw Cen MT" w:eastAsia="MS Mincho" w:hAnsi="Tw Cen MT" w:cs="Arial"/>
          <w:color w:val="000000"/>
          <w:kern w:val="0"/>
          <w:sz w:val="22"/>
          <w:szCs w:val="22"/>
          <w:lang w:eastAsia="ja-JP"/>
          <w14:ligatures w14:val="none"/>
        </w:rPr>
        <w:t xml:space="preserve"> to C&amp;I customers through DER solutions</w:t>
      </w:r>
      <w:r w:rsidR="00C76C44" w:rsidRPr="00A9365E">
        <w:rPr>
          <w:rFonts w:ascii="Tw Cen MT" w:eastAsia="MS Mincho" w:hAnsi="Tw Cen MT" w:cs="Arial"/>
          <w:color w:val="000000"/>
          <w:kern w:val="0"/>
          <w:sz w:val="22"/>
          <w:szCs w:val="22"/>
          <w:lang w:eastAsia="ja-JP"/>
          <w14:ligatures w14:val="none"/>
        </w:rPr>
        <w:t xml:space="preserve"> enabled by the utility</w:t>
      </w:r>
      <w:r w:rsidR="00761A13">
        <w:rPr>
          <w:rFonts w:ascii="Tw Cen MT" w:eastAsia="MS Mincho" w:hAnsi="Tw Cen MT" w:cs="Arial"/>
          <w:color w:val="000000"/>
          <w:kern w:val="0"/>
          <w:sz w:val="22"/>
          <w:szCs w:val="22"/>
          <w:lang w:eastAsia="ja-JP"/>
          <w14:ligatures w14:val="none"/>
        </w:rPr>
        <w:t>. The utility-enabled C&amp;I model</w:t>
      </w:r>
      <w:r w:rsidR="73F1731A" w:rsidRPr="00A9365E">
        <w:rPr>
          <w:rFonts w:ascii="Tw Cen MT" w:eastAsia="MS Mincho" w:hAnsi="Tw Cen MT" w:cs="Arial"/>
          <w:color w:val="000000"/>
          <w:kern w:val="0"/>
          <w:sz w:val="22"/>
          <w:szCs w:val="22"/>
          <w:lang w:eastAsia="ja-JP"/>
          <w14:ligatures w14:val="none"/>
        </w:rPr>
        <w:t xml:space="preserve"> </w:t>
      </w:r>
      <w:r w:rsidR="00A24FC7">
        <w:rPr>
          <w:rFonts w:ascii="Tw Cen MT" w:eastAsia="MS Mincho" w:hAnsi="Tw Cen MT" w:cs="Arial"/>
          <w:color w:val="000000"/>
          <w:kern w:val="0"/>
          <w:sz w:val="22"/>
          <w:szCs w:val="22"/>
          <w:lang w:eastAsia="ja-JP"/>
          <w14:ligatures w14:val="none"/>
        </w:rPr>
        <w:t xml:space="preserve">aims to </w:t>
      </w:r>
      <w:r w:rsidR="73F1731A" w:rsidRPr="00A9365E">
        <w:rPr>
          <w:rFonts w:ascii="Tw Cen MT" w:eastAsia="MS Mincho" w:hAnsi="Tw Cen MT" w:cs="Arial"/>
          <w:color w:val="000000"/>
          <w:kern w:val="0"/>
          <w:sz w:val="22"/>
          <w:szCs w:val="22"/>
          <w:lang w:eastAsia="ja-JP"/>
          <w14:ligatures w14:val="none"/>
        </w:rPr>
        <w:t>ensure th</w:t>
      </w:r>
      <w:r w:rsidR="3053146A" w:rsidRPr="00A9365E">
        <w:rPr>
          <w:rFonts w:ascii="Tw Cen MT" w:eastAsia="MS Mincho" w:hAnsi="Tw Cen MT" w:cs="Arial"/>
          <w:color w:val="000000"/>
          <w:kern w:val="0"/>
          <w:sz w:val="22"/>
          <w:szCs w:val="22"/>
          <w:lang w:eastAsia="ja-JP"/>
          <w14:ligatures w14:val="none"/>
        </w:rPr>
        <w:t xml:space="preserve">at </w:t>
      </w:r>
      <w:r w:rsidR="73F1731A" w:rsidRPr="00A9365E">
        <w:rPr>
          <w:rFonts w:ascii="Tw Cen MT" w:eastAsia="MS Mincho" w:hAnsi="Tw Cen MT" w:cs="Arial"/>
          <w:color w:val="000000"/>
          <w:kern w:val="0"/>
          <w:sz w:val="22"/>
          <w:szCs w:val="22"/>
          <w:lang w:eastAsia="ja-JP"/>
          <w14:ligatures w14:val="none"/>
        </w:rPr>
        <w:t xml:space="preserve">the selected customers </w:t>
      </w:r>
      <w:r w:rsidR="0F868CDF" w:rsidRPr="00A9365E">
        <w:rPr>
          <w:rFonts w:ascii="Tw Cen MT" w:eastAsia="MS Mincho" w:hAnsi="Tw Cen MT" w:cs="Arial"/>
          <w:color w:val="000000"/>
          <w:kern w:val="0"/>
          <w:sz w:val="22"/>
          <w:szCs w:val="22"/>
          <w:lang w:eastAsia="ja-JP"/>
          <w14:ligatures w14:val="none"/>
        </w:rPr>
        <w:t>can</w:t>
      </w:r>
      <w:r w:rsidR="008F1F15" w:rsidRPr="00A9365E">
        <w:rPr>
          <w:rFonts w:ascii="Tw Cen MT" w:eastAsia="MS Mincho" w:hAnsi="Tw Cen MT" w:cs="Arial"/>
          <w:color w:val="000000"/>
          <w:kern w:val="0"/>
          <w:sz w:val="22"/>
          <w:szCs w:val="22"/>
          <w:lang w:eastAsia="ja-JP"/>
          <w14:ligatures w14:val="none"/>
        </w:rPr>
        <w:t xml:space="preserve"> access </w:t>
      </w:r>
      <w:r w:rsidR="463B1D76" w:rsidRPr="00A9365E">
        <w:rPr>
          <w:rFonts w:ascii="Tw Cen MT" w:eastAsia="MS Mincho" w:hAnsi="Tw Cen MT" w:cs="Arial"/>
          <w:color w:val="000000"/>
          <w:kern w:val="0"/>
          <w:sz w:val="22"/>
          <w:szCs w:val="22"/>
          <w:lang w:eastAsia="ja-JP"/>
          <w14:ligatures w14:val="none"/>
        </w:rPr>
        <w:t>an</w:t>
      </w:r>
      <w:r w:rsidR="008F1F15" w:rsidRPr="00A9365E">
        <w:rPr>
          <w:rFonts w:ascii="Tw Cen MT" w:eastAsia="MS Mincho" w:hAnsi="Tw Cen MT" w:cs="Arial"/>
          <w:color w:val="000000"/>
          <w:kern w:val="0"/>
          <w:sz w:val="22"/>
          <w:szCs w:val="22"/>
          <w:lang w:eastAsia="ja-JP"/>
          <w14:ligatures w14:val="none"/>
        </w:rPr>
        <w:t xml:space="preserve"> improved electricity supply while </w:t>
      </w:r>
      <w:r w:rsidR="73F1731A" w:rsidRPr="00A9365E">
        <w:rPr>
          <w:rFonts w:ascii="Tw Cen MT" w:eastAsia="MS Mincho" w:hAnsi="Tw Cen MT" w:cs="Arial"/>
          <w:color w:val="000000"/>
          <w:kern w:val="0"/>
          <w:sz w:val="22"/>
          <w:szCs w:val="22"/>
          <w:lang w:eastAsia="ja-JP"/>
          <w14:ligatures w14:val="none"/>
        </w:rPr>
        <w:t xml:space="preserve">the </w:t>
      </w:r>
      <w:r w:rsidR="36A39CA3" w:rsidRPr="00A9365E">
        <w:rPr>
          <w:rFonts w:ascii="Tw Cen MT" w:eastAsia="MS Mincho" w:hAnsi="Tw Cen MT" w:cs="Arial"/>
          <w:color w:val="000000"/>
          <w:kern w:val="0"/>
          <w:sz w:val="22"/>
          <w:szCs w:val="22"/>
          <w:lang w:eastAsia="ja-JP"/>
          <w14:ligatures w14:val="none"/>
        </w:rPr>
        <w:t>utility revenue improves with lower loss levels.</w:t>
      </w:r>
      <w:r w:rsidR="008F1F15" w:rsidRPr="00A9365E">
        <w:rPr>
          <w:rFonts w:ascii="Tw Cen MT" w:eastAsia="MS Mincho" w:hAnsi="Tw Cen MT" w:cs="Arial"/>
          <w:color w:val="000000"/>
          <w:kern w:val="0"/>
          <w:sz w:val="22"/>
          <w:szCs w:val="22"/>
          <w:lang w:eastAsia="ja-JP"/>
          <w14:ligatures w14:val="none"/>
        </w:rPr>
        <w:t xml:space="preserve"> </w:t>
      </w:r>
      <w:r w:rsidR="00F833AD" w:rsidRPr="008F4D9B">
        <w:rPr>
          <w:rFonts w:ascii="Tw Cen MT" w:eastAsia="MS Mincho" w:hAnsi="Tw Cen MT" w:cs="Arial"/>
          <w:b/>
          <w:bCs/>
          <w:i/>
          <w:iCs/>
          <w:color w:val="000000"/>
          <w:kern w:val="0"/>
          <w:sz w:val="22"/>
          <w:szCs w:val="22"/>
          <w:lang w:eastAsia="ja-JP"/>
          <w14:ligatures w14:val="none"/>
        </w:rPr>
        <w:t>The C&amp;I information brief</w:t>
      </w:r>
      <w:r w:rsidR="00F833AD" w:rsidRPr="00A9365E">
        <w:rPr>
          <w:rFonts w:ascii="Tw Cen MT" w:eastAsia="MS Mincho" w:hAnsi="Tw Cen MT" w:cs="Arial"/>
          <w:color w:val="000000"/>
          <w:kern w:val="0"/>
          <w:sz w:val="22"/>
          <w:szCs w:val="22"/>
          <w:lang w:eastAsia="ja-JP"/>
          <w14:ligatures w14:val="none"/>
        </w:rPr>
        <w:t xml:space="preserve"> provides additional insight into the business model.</w:t>
      </w:r>
      <w:r w:rsidR="005E6F0E" w:rsidRPr="00A9365E">
        <w:rPr>
          <w:rFonts w:ascii="Tw Cen MT" w:eastAsia="MS Mincho" w:hAnsi="Tw Cen MT" w:cs="Arial"/>
          <w:color w:val="000000"/>
          <w:kern w:val="0"/>
          <w:sz w:val="22"/>
          <w:szCs w:val="22"/>
          <w:lang w:eastAsia="ja-JP"/>
          <w14:ligatures w14:val="none"/>
        </w:rPr>
        <w:t xml:space="preserve"> </w:t>
      </w:r>
      <w:r w:rsidR="008F1F15" w:rsidRPr="00A9365E">
        <w:rPr>
          <w:rFonts w:ascii="Tw Cen MT" w:eastAsia="MS Mincho" w:hAnsi="Tw Cen MT" w:cs="Arial"/>
          <w:color w:val="000000"/>
          <w:kern w:val="0"/>
          <w:sz w:val="22"/>
          <w:szCs w:val="22"/>
          <w:lang w:eastAsia="ja-JP"/>
          <w14:ligatures w14:val="none"/>
        </w:rPr>
        <w:t xml:space="preserve">The summary of the key terms </w:t>
      </w:r>
      <w:r w:rsidR="749F8339" w:rsidRPr="00A9365E">
        <w:rPr>
          <w:rFonts w:ascii="Tw Cen MT" w:eastAsia="MS Mincho" w:hAnsi="Tw Cen MT" w:cs="Arial"/>
          <w:color w:val="000000"/>
          <w:kern w:val="0"/>
          <w:sz w:val="22"/>
          <w:szCs w:val="22"/>
          <w:lang w:eastAsia="ja-JP"/>
          <w14:ligatures w14:val="none"/>
        </w:rPr>
        <w:t xml:space="preserve">that </w:t>
      </w:r>
      <w:r w:rsidR="056F3F9D" w:rsidRPr="00A9365E">
        <w:rPr>
          <w:rFonts w:ascii="Tw Cen MT" w:eastAsia="MS Mincho" w:hAnsi="Tw Cen MT" w:cs="Arial"/>
          <w:color w:val="000000"/>
          <w:kern w:val="0"/>
          <w:sz w:val="22"/>
          <w:szCs w:val="22"/>
          <w:lang w:eastAsia="ja-JP"/>
          <w14:ligatures w14:val="none"/>
        </w:rPr>
        <w:t>enable</w:t>
      </w:r>
      <w:r w:rsidR="749F8339" w:rsidRPr="00A9365E">
        <w:rPr>
          <w:rFonts w:ascii="Tw Cen MT" w:eastAsia="MS Mincho" w:hAnsi="Tw Cen MT" w:cs="Arial"/>
          <w:color w:val="000000"/>
          <w:kern w:val="0"/>
          <w:sz w:val="22"/>
          <w:szCs w:val="22"/>
          <w:lang w:eastAsia="ja-JP"/>
          <w14:ligatures w14:val="none"/>
        </w:rPr>
        <w:t xml:space="preserve"> this type of transaction arrangement </w:t>
      </w:r>
      <w:r w:rsidR="002173B7">
        <w:rPr>
          <w:rFonts w:ascii="Tw Cen MT" w:eastAsia="MS Mincho" w:hAnsi="Tw Cen MT" w:cs="Arial"/>
          <w:color w:val="000000"/>
          <w:kern w:val="0"/>
          <w:sz w:val="22"/>
          <w:szCs w:val="22"/>
          <w:lang w:eastAsia="ja-JP"/>
          <w14:ligatures w14:val="none"/>
        </w:rPr>
        <w:t>is</w:t>
      </w:r>
      <w:r w:rsidR="008F1F15" w:rsidRPr="00A9365E">
        <w:rPr>
          <w:rFonts w:ascii="Tw Cen MT" w:eastAsia="MS Mincho" w:hAnsi="Tw Cen MT" w:cs="Arial"/>
          <w:color w:val="000000"/>
          <w:kern w:val="0"/>
          <w:sz w:val="22"/>
          <w:szCs w:val="22"/>
          <w:lang w:eastAsia="ja-JP"/>
          <w14:ligatures w14:val="none"/>
        </w:rPr>
        <w:t xml:space="preserve"> highlighted</w:t>
      </w:r>
      <w:r w:rsidR="004E6AA1">
        <w:rPr>
          <w:rFonts w:ascii="Tw Cen MT" w:eastAsia="MS Mincho" w:hAnsi="Tw Cen MT" w:cs="Arial"/>
          <w:color w:val="000000"/>
          <w:kern w:val="0"/>
          <w:sz w:val="22"/>
          <w:szCs w:val="22"/>
          <w:lang w:eastAsia="ja-JP"/>
          <w14:ligatures w14:val="none"/>
        </w:rPr>
        <w:t xml:space="preserve"> throughout this document</w:t>
      </w:r>
      <w:r w:rsidR="7F7AA029" w:rsidRPr="00A9365E">
        <w:rPr>
          <w:rFonts w:ascii="Tw Cen MT" w:eastAsia="MS Mincho" w:hAnsi="Tw Cen MT" w:cs="Arial"/>
          <w:color w:val="000000"/>
          <w:kern w:val="0"/>
          <w:sz w:val="22"/>
          <w:szCs w:val="22"/>
          <w:lang w:eastAsia="ja-JP"/>
          <w14:ligatures w14:val="none"/>
        </w:rPr>
        <w:t>.</w:t>
      </w:r>
      <w:r w:rsidR="00A06027" w:rsidRPr="00A9365E">
        <w:rPr>
          <w:rFonts w:ascii="Tw Cen MT" w:eastAsia="MS Mincho" w:hAnsi="Tw Cen MT" w:cs="Arial"/>
          <w:color w:val="000000"/>
          <w:kern w:val="0"/>
          <w:sz w:val="22"/>
          <w:szCs w:val="22"/>
          <w:lang w:eastAsia="ja-JP"/>
          <w14:ligatures w14:val="none"/>
        </w:rPr>
        <w:t xml:space="preserve"> This term sheet is part of a UEDER Toolkit (“Toolkit”)</w:t>
      </w:r>
      <w:r w:rsidR="00BC49DB">
        <w:rPr>
          <w:rFonts w:ascii="Tw Cen MT" w:eastAsia="MS Mincho" w:hAnsi="Tw Cen MT" w:cs="Arial"/>
          <w:color w:val="000000"/>
          <w:kern w:val="0"/>
          <w:sz w:val="22"/>
          <w:szCs w:val="22"/>
          <w:lang w:eastAsia="ja-JP"/>
          <w14:ligatures w14:val="none"/>
        </w:rPr>
        <w:t>.</w:t>
      </w:r>
    </w:p>
    <w:p w14:paraId="4180EC5F" w14:textId="77777777" w:rsidR="00BC49DB" w:rsidRPr="00A9365E" w:rsidRDefault="00BC49DB" w:rsidP="008F1F15">
      <w:pPr>
        <w:spacing w:line="300" w:lineRule="exact"/>
        <w:jc w:val="both"/>
        <w:rPr>
          <w:rFonts w:ascii="Tw Cen MT" w:eastAsia="MS Mincho" w:hAnsi="Tw Cen MT" w:cs="Arial"/>
          <w:color w:val="000000"/>
          <w:kern w:val="0"/>
          <w:sz w:val="22"/>
          <w:szCs w:val="22"/>
          <w:lang w:eastAsia="ja-JP"/>
          <w14:ligatures w14:val="none"/>
        </w:rPr>
      </w:pPr>
    </w:p>
    <w:p w14:paraId="0D14E9A7" w14:textId="31133E58" w:rsidR="00913B0B" w:rsidRPr="00A9365E" w:rsidRDefault="0086512D" w:rsidP="00913B0B">
      <w:pPr>
        <w:keepNext/>
        <w:keepLines/>
        <w:spacing w:before="200"/>
        <w:jc w:val="both"/>
        <w:outlineLvl w:val="1"/>
        <w:rPr>
          <w:rFonts w:ascii="Tw Cen MT" w:eastAsia="MS Gothic" w:hAnsi="Tw Cen MT" w:cs="Arial"/>
          <w:b/>
          <w:bCs/>
          <w:color w:val="1F497D"/>
          <w:kern w:val="0"/>
          <w:sz w:val="26"/>
          <w:szCs w:val="26"/>
          <w:lang w:eastAsia="ja-JP"/>
          <w14:ligatures w14:val="none"/>
        </w:rPr>
      </w:pPr>
      <w:r w:rsidRPr="00A9365E">
        <w:rPr>
          <w:rFonts w:ascii="Tw Cen MT" w:eastAsia="MS Gothic" w:hAnsi="Tw Cen MT" w:cs="Arial"/>
          <w:b/>
          <w:bCs/>
          <w:color w:val="1F497D"/>
          <w:sz w:val="26"/>
          <w:szCs w:val="26"/>
          <w:lang w:eastAsia="ja-JP"/>
        </w:rPr>
        <w:t xml:space="preserve">What </w:t>
      </w:r>
      <w:r w:rsidR="002641DD" w:rsidRPr="00A9365E">
        <w:rPr>
          <w:rFonts w:ascii="Tw Cen MT" w:eastAsia="MS Gothic" w:hAnsi="Tw Cen MT" w:cs="Arial"/>
          <w:b/>
          <w:bCs/>
          <w:color w:val="1F497D"/>
          <w:sz w:val="26"/>
          <w:szCs w:val="26"/>
          <w:lang w:eastAsia="ja-JP"/>
        </w:rPr>
        <w:t xml:space="preserve">are the </w:t>
      </w:r>
      <w:r w:rsidRPr="00A9365E">
        <w:rPr>
          <w:rFonts w:ascii="Tw Cen MT" w:eastAsia="MS Gothic" w:hAnsi="Tw Cen MT" w:cs="Arial"/>
          <w:b/>
          <w:bCs/>
          <w:color w:val="1F497D"/>
          <w:sz w:val="26"/>
          <w:szCs w:val="26"/>
          <w:lang w:eastAsia="ja-JP"/>
        </w:rPr>
        <w:t>term sheet</w:t>
      </w:r>
      <w:r w:rsidR="002641DD" w:rsidRPr="00A9365E">
        <w:rPr>
          <w:rFonts w:ascii="Tw Cen MT" w:eastAsia="MS Gothic" w:hAnsi="Tw Cen MT" w:cs="Arial"/>
          <w:b/>
          <w:bCs/>
          <w:color w:val="1F497D"/>
          <w:sz w:val="26"/>
          <w:szCs w:val="26"/>
          <w:lang w:eastAsia="ja-JP"/>
        </w:rPr>
        <w:t xml:space="preserve"> considerations</w:t>
      </w:r>
      <w:r w:rsidRPr="00A9365E">
        <w:rPr>
          <w:rFonts w:ascii="Tw Cen MT" w:eastAsia="MS Gothic" w:hAnsi="Tw Cen MT" w:cs="Arial"/>
          <w:b/>
          <w:bCs/>
          <w:color w:val="1F497D"/>
          <w:sz w:val="26"/>
          <w:szCs w:val="26"/>
          <w:lang w:eastAsia="ja-JP"/>
        </w:rPr>
        <w:t>?</w:t>
      </w:r>
    </w:p>
    <w:p w14:paraId="7114B4F6" w14:textId="77777777" w:rsidR="00BC49DB" w:rsidRDefault="00BC49DB" w:rsidP="00BC49DB">
      <w:pPr>
        <w:rPr>
          <w:rFonts w:ascii="Tw Cen MT" w:hAnsi="Tw Cen MT"/>
          <w:lang w:eastAsia="ja-JP"/>
        </w:rPr>
      </w:pPr>
    </w:p>
    <w:p w14:paraId="019D6799" w14:textId="1E2FA088" w:rsidR="002A5959" w:rsidRPr="00BC49DB" w:rsidRDefault="10AD3BFF" w:rsidP="51C13DDE">
      <w:pPr>
        <w:spacing w:line="276" w:lineRule="auto"/>
        <w:jc w:val="both"/>
        <w:rPr>
          <w:rFonts w:ascii="Tw Cen MT_MSFontService" w:eastAsia="Tw Cen MT_MSFontService" w:hAnsi="Tw Cen MT_MSFontService" w:cs="Tw Cen MT_MSFontService"/>
          <w:color w:val="000000" w:themeColor="text1"/>
          <w:sz w:val="22"/>
          <w:szCs w:val="22"/>
        </w:rPr>
      </w:pPr>
      <w:r w:rsidRPr="51C13DDE">
        <w:rPr>
          <w:rFonts w:ascii="Tw Cen MT" w:hAnsi="Tw Cen MT"/>
          <w:sz w:val="22"/>
          <w:szCs w:val="22"/>
          <w:lang w:eastAsia="ja-JP"/>
        </w:rPr>
        <w:t xml:space="preserve">The </w:t>
      </w:r>
      <w:r w:rsidR="002173B7" w:rsidRPr="51C13DDE">
        <w:rPr>
          <w:rFonts w:ascii="Tw Cen MT" w:hAnsi="Tw Cen MT"/>
          <w:sz w:val="22"/>
          <w:szCs w:val="22"/>
          <w:lang w:eastAsia="ja-JP"/>
        </w:rPr>
        <w:t>term sheet</w:t>
      </w:r>
      <w:r w:rsidRPr="51C13DDE">
        <w:rPr>
          <w:rFonts w:ascii="Tw Cen MT" w:hAnsi="Tw Cen MT"/>
          <w:sz w:val="22"/>
          <w:szCs w:val="22"/>
          <w:lang w:eastAsia="ja-JP"/>
        </w:rPr>
        <w:t xml:space="preserve"> is a legally non-binding document in which the parties provisionally </w:t>
      </w:r>
      <w:r w:rsidR="002A5959" w:rsidRPr="51C13DDE">
        <w:rPr>
          <w:rFonts w:ascii="Tw Cen MT" w:hAnsi="Tw Cen MT"/>
          <w:sz w:val="22"/>
          <w:szCs w:val="22"/>
          <w:lang w:eastAsia="ja-JP"/>
        </w:rPr>
        <w:t xml:space="preserve">spell out and </w:t>
      </w:r>
      <w:r w:rsidRPr="51C13DDE">
        <w:rPr>
          <w:rFonts w:ascii="Tw Cen MT" w:hAnsi="Tw Cen MT"/>
          <w:sz w:val="22"/>
          <w:szCs w:val="22"/>
          <w:lang w:eastAsia="ja-JP"/>
        </w:rPr>
        <w:t xml:space="preserve">agree on the </w:t>
      </w:r>
      <w:r w:rsidR="00FC3F8D" w:rsidRPr="51C13DDE">
        <w:rPr>
          <w:rFonts w:ascii="Tw Cen MT" w:hAnsi="Tw Cen MT"/>
          <w:sz w:val="22"/>
          <w:szCs w:val="22"/>
          <w:lang w:eastAsia="ja-JP"/>
        </w:rPr>
        <w:t xml:space="preserve">key </w:t>
      </w:r>
      <w:r w:rsidRPr="51C13DDE">
        <w:rPr>
          <w:rFonts w:ascii="Tw Cen MT" w:hAnsi="Tw Cen MT"/>
          <w:sz w:val="22"/>
          <w:szCs w:val="22"/>
          <w:lang w:eastAsia="ja-JP"/>
        </w:rPr>
        <w:t>transaction</w:t>
      </w:r>
      <w:r w:rsidR="0063332E" w:rsidRPr="51C13DDE">
        <w:rPr>
          <w:rFonts w:ascii="Tw Cen MT" w:hAnsi="Tw Cen MT"/>
          <w:sz w:val="22"/>
          <w:szCs w:val="22"/>
          <w:lang w:eastAsia="ja-JP"/>
        </w:rPr>
        <w:t xml:space="preserve"> </w:t>
      </w:r>
      <w:r w:rsidR="005E6F0E" w:rsidRPr="51C13DDE">
        <w:rPr>
          <w:rFonts w:ascii="Tw Cen MT" w:hAnsi="Tw Cen MT"/>
          <w:sz w:val="22"/>
          <w:szCs w:val="22"/>
          <w:lang w:eastAsia="ja-JP"/>
        </w:rPr>
        <w:t xml:space="preserve">parameters </w:t>
      </w:r>
      <w:r w:rsidR="0063332E" w:rsidRPr="51C13DDE">
        <w:rPr>
          <w:rFonts w:ascii="Tw Cen MT" w:hAnsi="Tw Cen MT"/>
          <w:sz w:val="22"/>
          <w:szCs w:val="22"/>
          <w:lang w:eastAsia="ja-JP"/>
        </w:rPr>
        <w:t>before</w:t>
      </w:r>
      <w:r w:rsidRPr="51C13DDE">
        <w:rPr>
          <w:rFonts w:ascii="Tw Cen MT" w:hAnsi="Tw Cen MT"/>
          <w:sz w:val="22"/>
          <w:szCs w:val="22"/>
          <w:lang w:eastAsia="ja-JP"/>
        </w:rPr>
        <w:t xml:space="preserve"> further negotiations</w:t>
      </w:r>
      <w:r w:rsidR="0063332E" w:rsidRPr="51C13DDE">
        <w:rPr>
          <w:rFonts w:ascii="Tw Cen MT" w:hAnsi="Tw Cen MT"/>
          <w:sz w:val="22"/>
          <w:szCs w:val="22"/>
          <w:lang w:eastAsia="ja-JP"/>
        </w:rPr>
        <w:t xml:space="preserve">, </w:t>
      </w:r>
      <w:r w:rsidR="005E6F0E" w:rsidRPr="51C13DDE">
        <w:rPr>
          <w:rFonts w:ascii="Tw Cen MT" w:hAnsi="Tw Cen MT"/>
          <w:sz w:val="22"/>
          <w:szCs w:val="22"/>
          <w:lang w:eastAsia="ja-JP"/>
        </w:rPr>
        <w:t>particularly</w:t>
      </w:r>
      <w:r w:rsidR="0063332E" w:rsidRPr="51C13DDE">
        <w:rPr>
          <w:rFonts w:ascii="Tw Cen MT" w:hAnsi="Tw Cen MT"/>
          <w:sz w:val="22"/>
          <w:szCs w:val="22"/>
          <w:lang w:eastAsia="ja-JP"/>
        </w:rPr>
        <w:t xml:space="preserve"> before moving into a binding contract agreement</w:t>
      </w:r>
      <w:r w:rsidRPr="51C13DDE">
        <w:rPr>
          <w:rFonts w:ascii="Tw Cen MT" w:hAnsi="Tw Cen MT"/>
          <w:sz w:val="22"/>
          <w:szCs w:val="22"/>
          <w:lang w:eastAsia="ja-JP"/>
        </w:rPr>
        <w:t xml:space="preserve">. </w:t>
      </w:r>
      <w:r w:rsidR="24019050" w:rsidRPr="51C13DDE">
        <w:rPr>
          <w:rFonts w:ascii="Tw Cen MT" w:hAnsi="Tw Cen MT"/>
          <w:sz w:val="22"/>
          <w:szCs w:val="22"/>
          <w:lang w:eastAsia="ja-JP"/>
        </w:rPr>
        <w:t xml:space="preserve">Based on the contract terms illustrated below, it is essential that both parties prepare a </w:t>
      </w:r>
      <w:proofErr w:type="spellStart"/>
      <w:r w:rsidR="0048698D" w:rsidRPr="51C13DDE">
        <w:rPr>
          <w:rFonts w:ascii="Tw Cen MT" w:hAnsi="Tw Cen MT"/>
          <w:sz w:val="22"/>
          <w:szCs w:val="22"/>
          <w:lang w:eastAsia="ja-JP"/>
        </w:rPr>
        <w:t>finalised</w:t>
      </w:r>
      <w:proofErr w:type="spellEnd"/>
      <w:r w:rsidR="24019050" w:rsidRPr="51C13DDE">
        <w:rPr>
          <w:rFonts w:ascii="Tw Cen MT" w:hAnsi="Tw Cen MT"/>
          <w:sz w:val="22"/>
          <w:szCs w:val="22"/>
          <w:lang w:eastAsia="ja-JP"/>
        </w:rPr>
        <w:t xml:space="preserve"> version </w:t>
      </w:r>
      <w:r w:rsidR="00995945" w:rsidRPr="51C13DDE">
        <w:rPr>
          <w:rFonts w:ascii="Tw Cen MT" w:hAnsi="Tw Cen MT"/>
          <w:sz w:val="22"/>
          <w:szCs w:val="22"/>
          <w:lang w:eastAsia="ja-JP"/>
        </w:rPr>
        <w:t xml:space="preserve">for each </w:t>
      </w:r>
      <w:r w:rsidR="2F98AB50" w:rsidRPr="51C13DDE">
        <w:rPr>
          <w:rFonts w:ascii="Tw Cen MT" w:hAnsi="Tw Cen MT"/>
          <w:sz w:val="22"/>
          <w:szCs w:val="22"/>
          <w:lang w:eastAsia="ja-JP"/>
        </w:rPr>
        <w:t>transaction</w:t>
      </w:r>
      <w:r w:rsidR="00995945" w:rsidRPr="51C13DDE">
        <w:rPr>
          <w:rFonts w:ascii="Tw Cen MT" w:hAnsi="Tw Cen MT"/>
          <w:sz w:val="22"/>
          <w:szCs w:val="22"/>
          <w:lang w:eastAsia="ja-JP"/>
        </w:rPr>
        <w:t xml:space="preserve"> (for a single project or a project portfolio)</w:t>
      </w:r>
      <w:r w:rsidR="2F98AB50" w:rsidRPr="51C13DDE">
        <w:rPr>
          <w:rFonts w:ascii="Tw Cen MT" w:hAnsi="Tw Cen MT"/>
          <w:sz w:val="22"/>
          <w:szCs w:val="22"/>
          <w:lang w:eastAsia="ja-JP"/>
        </w:rPr>
        <w:t>.</w:t>
      </w:r>
      <w:r w:rsidR="18962B2B" w:rsidRPr="51C13DDE">
        <w:rPr>
          <w:rFonts w:ascii="Tw Cen MT" w:hAnsi="Tw Cen MT"/>
          <w:sz w:val="22"/>
          <w:szCs w:val="22"/>
          <w:lang w:eastAsia="ja-JP"/>
        </w:rPr>
        <w:t xml:space="preserve"> </w:t>
      </w:r>
      <w:r w:rsidR="00C9606C" w:rsidRPr="00C9606C">
        <w:rPr>
          <w:rFonts w:ascii="Tw Cen MT" w:hAnsi="Tw Cen MT"/>
          <w:sz w:val="22"/>
          <w:szCs w:val="22"/>
          <w:lang w:eastAsia="ja-JP"/>
        </w:rPr>
        <w:t xml:space="preserve">A finalized version should be approved by both parties to prevent </w:t>
      </w:r>
      <w:r w:rsidR="00182C50">
        <w:rPr>
          <w:rFonts w:ascii="Tw Cen MT" w:hAnsi="Tw Cen MT"/>
          <w:sz w:val="22"/>
          <w:szCs w:val="22"/>
          <w:lang w:eastAsia="ja-JP"/>
        </w:rPr>
        <w:t xml:space="preserve">the </w:t>
      </w:r>
      <w:r w:rsidR="00C9606C" w:rsidRPr="00C9606C">
        <w:rPr>
          <w:rFonts w:ascii="Tw Cen MT" w:hAnsi="Tw Cen MT"/>
          <w:sz w:val="22"/>
          <w:szCs w:val="22"/>
          <w:lang w:eastAsia="ja-JP"/>
        </w:rPr>
        <w:t>renegotiation of key terms when reviewing the agreement</w:t>
      </w:r>
      <w:r w:rsidR="004C2AA5">
        <w:rPr>
          <w:rFonts w:ascii="Tw Cen MT" w:hAnsi="Tw Cen MT"/>
          <w:sz w:val="22"/>
          <w:szCs w:val="22"/>
          <w:lang w:eastAsia="ja-JP"/>
        </w:rPr>
        <w:t xml:space="preserve">. </w:t>
      </w:r>
      <w:r w:rsidR="00B454B9">
        <w:rPr>
          <w:rFonts w:ascii="Tw Cen MT" w:hAnsi="Tw Cen MT"/>
          <w:sz w:val="22"/>
          <w:szCs w:val="22"/>
          <w:lang w:eastAsia="ja-JP"/>
        </w:rPr>
        <w:t>Two agreement templates are</w:t>
      </w:r>
      <w:r w:rsidR="0065595F">
        <w:rPr>
          <w:rFonts w:ascii="Tw Cen MT" w:hAnsi="Tw Cen MT"/>
          <w:sz w:val="22"/>
          <w:szCs w:val="22"/>
          <w:lang w:eastAsia="ja-JP"/>
        </w:rPr>
        <w:t xml:space="preserve"> designed to support the implementation of this business model</w:t>
      </w:r>
      <w:r w:rsidR="00A16062">
        <w:rPr>
          <w:rFonts w:ascii="Tw Cen MT" w:hAnsi="Tw Cen MT"/>
          <w:sz w:val="22"/>
          <w:szCs w:val="22"/>
          <w:lang w:eastAsia="ja-JP"/>
        </w:rPr>
        <w:t xml:space="preserve">. The first agreement focuses on </w:t>
      </w:r>
      <w:r w:rsidR="006E0D02">
        <w:rPr>
          <w:rFonts w:ascii="Tw Cen MT" w:hAnsi="Tw Cen MT"/>
          <w:sz w:val="22"/>
          <w:szCs w:val="22"/>
          <w:lang w:eastAsia="ja-JP"/>
        </w:rPr>
        <w:t>developing</w:t>
      </w:r>
      <w:r w:rsidR="00A16062">
        <w:rPr>
          <w:rFonts w:ascii="Tw Cen MT" w:hAnsi="Tw Cen MT"/>
          <w:sz w:val="22"/>
          <w:szCs w:val="22"/>
          <w:lang w:eastAsia="ja-JP"/>
        </w:rPr>
        <w:t xml:space="preserve"> </w:t>
      </w:r>
      <w:r w:rsidR="00A519AD">
        <w:rPr>
          <w:rFonts w:ascii="Tw Cen MT" w:hAnsi="Tw Cen MT"/>
          <w:sz w:val="22"/>
          <w:szCs w:val="22"/>
          <w:lang w:eastAsia="ja-JP"/>
        </w:rPr>
        <w:t xml:space="preserve">a solution up to 20MW, and the other agreement </w:t>
      </w:r>
      <w:r w:rsidR="006E7405">
        <w:rPr>
          <w:rFonts w:ascii="Tw Cen MT" w:hAnsi="Tw Cen MT"/>
          <w:sz w:val="22"/>
          <w:szCs w:val="22"/>
          <w:lang w:eastAsia="ja-JP"/>
        </w:rPr>
        <w:t xml:space="preserve">focuses on a solution below 1MW that </w:t>
      </w:r>
      <w:r w:rsidR="007E686E">
        <w:rPr>
          <w:rFonts w:ascii="Tw Cen MT" w:hAnsi="Tw Cen MT"/>
          <w:sz w:val="22"/>
          <w:szCs w:val="22"/>
          <w:lang w:eastAsia="ja-JP"/>
        </w:rPr>
        <w:t xml:space="preserve">is </w:t>
      </w:r>
      <w:r w:rsidR="00A519AD">
        <w:rPr>
          <w:rFonts w:ascii="Tw Cen MT" w:hAnsi="Tw Cen MT"/>
          <w:sz w:val="22"/>
          <w:szCs w:val="22"/>
          <w:lang w:eastAsia="ja-JP"/>
        </w:rPr>
        <w:t>either an off-site solution or an on-site</w:t>
      </w:r>
      <w:r w:rsidR="006E0D02">
        <w:rPr>
          <w:rFonts w:ascii="Tw Cen MT" w:hAnsi="Tw Cen MT"/>
          <w:sz w:val="22"/>
          <w:szCs w:val="22"/>
          <w:lang w:eastAsia="ja-JP"/>
        </w:rPr>
        <w:t xml:space="preserve"> </w:t>
      </w:r>
      <w:r w:rsidR="003B040A">
        <w:rPr>
          <w:rFonts w:ascii="Tw Cen MT" w:hAnsi="Tw Cen MT"/>
          <w:sz w:val="22"/>
          <w:szCs w:val="22"/>
          <w:lang w:eastAsia="ja-JP"/>
        </w:rPr>
        <w:t xml:space="preserve">one </w:t>
      </w:r>
      <w:r w:rsidR="00A519AD">
        <w:rPr>
          <w:rFonts w:ascii="Tw Cen MT" w:hAnsi="Tw Cen MT"/>
          <w:sz w:val="22"/>
          <w:szCs w:val="22"/>
          <w:lang w:eastAsia="ja-JP"/>
        </w:rPr>
        <w:t xml:space="preserve">that plans to </w:t>
      </w:r>
      <w:r w:rsidR="008E2C5E">
        <w:rPr>
          <w:rFonts w:ascii="Tw Cen MT" w:hAnsi="Tw Cen MT"/>
          <w:sz w:val="22"/>
          <w:szCs w:val="22"/>
          <w:lang w:eastAsia="ja-JP"/>
        </w:rPr>
        <w:t xml:space="preserve">supply another </w:t>
      </w:r>
      <w:r w:rsidR="00A519AD">
        <w:rPr>
          <w:rFonts w:ascii="Tw Cen MT" w:hAnsi="Tw Cen MT"/>
          <w:sz w:val="22"/>
          <w:szCs w:val="22"/>
          <w:lang w:eastAsia="ja-JP"/>
        </w:rPr>
        <w:t>customer</w:t>
      </w:r>
      <w:r w:rsidR="003B040A">
        <w:rPr>
          <w:rFonts w:ascii="Tw Cen MT" w:hAnsi="Tw Cen MT"/>
          <w:sz w:val="22"/>
          <w:szCs w:val="22"/>
          <w:lang w:eastAsia="ja-JP"/>
        </w:rPr>
        <w:t xml:space="preserve">. </w:t>
      </w:r>
    </w:p>
    <w:p w14:paraId="70DD8422" w14:textId="1CF3FC97" w:rsidR="00913B0B" w:rsidRPr="00A9365E" w:rsidRDefault="00E625A4" w:rsidP="135C8E0D">
      <w:pPr>
        <w:pStyle w:val="CZcontractbodytext"/>
        <w:ind w:right="241"/>
        <w:rPr>
          <w:rFonts w:ascii="Tw Cen MT" w:eastAsia="Arial" w:hAnsi="Tw Cen MT" w:cs="Arial"/>
          <w:sz w:val="22"/>
          <w:szCs w:val="22"/>
          <w:lang w:val="en-GB" w:eastAsia="en-GB"/>
        </w:rPr>
      </w:pPr>
      <w:r w:rsidRPr="00A9365E">
        <w:rPr>
          <w:rFonts w:ascii="Tw Cen MT" w:eastAsia="Arial" w:hAnsi="Tw Cen MT" w:cs="Arial"/>
          <w:sz w:val="22"/>
          <w:szCs w:val="22"/>
          <w:lang w:val="en-GB" w:eastAsia="en-GB"/>
          <w14:ligatures w14:val="standardContextual"/>
        </w:rPr>
        <w:drawing>
          <wp:inline distT="0" distB="0" distL="0" distR="0" wp14:anchorId="1A402615" wp14:editId="5A9DCA41">
            <wp:extent cx="5363210" cy="1138687"/>
            <wp:effectExtent l="19050" t="0" r="8890" b="0"/>
            <wp:docPr id="15586175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E2FCA6" w14:textId="77777777" w:rsidR="00BC49DB" w:rsidRDefault="00BC49DB">
      <w:pPr>
        <w:rPr>
          <w:rFonts w:ascii="Tw Cen MT" w:eastAsia="MS Gothic" w:hAnsi="Tw Cen MT" w:cs="Arial"/>
          <w:b/>
          <w:bCs/>
          <w:i/>
          <w:iCs/>
          <w:color w:val="365F91"/>
          <w:kern w:val="0"/>
          <w:lang w:eastAsia="ja-JP"/>
          <w14:ligatures w14:val="none"/>
        </w:rPr>
      </w:pPr>
      <w:r>
        <w:rPr>
          <w:rFonts w:ascii="Tw Cen MT" w:eastAsia="MS Gothic" w:hAnsi="Tw Cen MT" w:cs="Arial"/>
          <w:b/>
          <w:bCs/>
          <w:i/>
          <w:iCs/>
          <w:color w:val="365F91"/>
          <w:kern w:val="0"/>
          <w:lang w:eastAsia="ja-JP"/>
          <w14:ligatures w14:val="none"/>
        </w:rPr>
        <w:br w:type="page"/>
      </w:r>
    </w:p>
    <w:p w14:paraId="51AE73E5" w14:textId="135ADEF2" w:rsidR="00EB5E67" w:rsidRPr="00A9365E" w:rsidRDefault="00EB5E67" w:rsidP="06F10F4C">
      <w:pPr>
        <w:keepNext/>
        <w:keepLines/>
        <w:spacing w:before="200"/>
        <w:jc w:val="both"/>
        <w:outlineLvl w:val="3"/>
        <w:rPr>
          <w:rFonts w:ascii="Tw Cen MT" w:eastAsia="MS Gothic" w:hAnsi="Tw Cen MT" w:cs="Arial"/>
          <w:b/>
          <w:bCs/>
          <w:i/>
          <w:iCs/>
          <w:color w:val="365F91"/>
          <w:kern w:val="0"/>
          <w:lang w:eastAsia="ja-JP"/>
          <w14:ligatures w14:val="none"/>
        </w:rPr>
      </w:pPr>
      <w:r w:rsidRPr="06F10F4C">
        <w:rPr>
          <w:rFonts w:ascii="Tw Cen MT" w:eastAsia="MS Gothic" w:hAnsi="Tw Cen MT" w:cs="Arial"/>
          <w:b/>
          <w:bCs/>
          <w:i/>
          <w:iCs/>
          <w:color w:val="365F91"/>
          <w:kern w:val="0"/>
          <w:lang w:eastAsia="ja-JP"/>
          <w14:ligatures w14:val="none"/>
        </w:rPr>
        <w:lastRenderedPageBreak/>
        <w:t xml:space="preserve">Summary of the </w:t>
      </w:r>
      <w:r w:rsidR="13D24808" w:rsidRPr="06F10F4C">
        <w:rPr>
          <w:rFonts w:ascii="Tw Cen MT" w:eastAsia="MS Gothic" w:hAnsi="Tw Cen MT" w:cs="Arial"/>
          <w:b/>
          <w:bCs/>
          <w:i/>
          <w:iCs/>
          <w:color w:val="365F91"/>
          <w:kern w:val="0"/>
          <w:lang w:eastAsia="ja-JP"/>
          <w14:ligatures w14:val="none"/>
        </w:rPr>
        <w:t>b</w:t>
      </w:r>
      <w:r w:rsidR="00A215CF" w:rsidRPr="06F10F4C">
        <w:rPr>
          <w:rFonts w:ascii="Tw Cen MT" w:eastAsia="MS Gothic" w:hAnsi="Tw Cen MT" w:cs="Arial"/>
          <w:b/>
          <w:bCs/>
          <w:i/>
          <w:iCs/>
          <w:color w:val="365F91"/>
          <w:kern w:val="0"/>
          <w:lang w:eastAsia="ja-JP"/>
          <w14:ligatures w14:val="none"/>
        </w:rPr>
        <w:t xml:space="preserve">usiness </w:t>
      </w:r>
      <w:r w:rsidR="716086E1" w:rsidRPr="06F10F4C">
        <w:rPr>
          <w:rFonts w:ascii="Tw Cen MT" w:eastAsia="MS Gothic" w:hAnsi="Tw Cen MT" w:cs="Arial"/>
          <w:b/>
          <w:bCs/>
          <w:i/>
          <w:iCs/>
          <w:color w:val="365F91"/>
          <w:kern w:val="0"/>
          <w:lang w:eastAsia="ja-JP"/>
          <w14:ligatures w14:val="none"/>
        </w:rPr>
        <w:t>m</w:t>
      </w:r>
      <w:r w:rsidR="00A215CF" w:rsidRPr="06F10F4C">
        <w:rPr>
          <w:rFonts w:ascii="Tw Cen MT" w:eastAsia="MS Gothic" w:hAnsi="Tw Cen MT" w:cs="Arial"/>
          <w:b/>
          <w:bCs/>
          <w:i/>
          <w:iCs/>
          <w:color w:val="365F91"/>
          <w:kern w:val="0"/>
          <w:lang w:eastAsia="ja-JP"/>
          <w14:ligatures w14:val="none"/>
        </w:rPr>
        <w:t xml:space="preserve">odel Implementation </w:t>
      </w:r>
      <w:r w:rsidR="19B4AC4A" w:rsidRPr="06F10F4C">
        <w:rPr>
          <w:rFonts w:ascii="Tw Cen MT" w:eastAsia="MS Gothic" w:hAnsi="Tw Cen MT" w:cs="Arial"/>
          <w:b/>
          <w:bCs/>
          <w:i/>
          <w:iCs/>
          <w:color w:val="365F91"/>
          <w:kern w:val="0"/>
          <w:lang w:eastAsia="ja-JP"/>
          <w14:ligatures w14:val="none"/>
        </w:rPr>
        <w:t>p</w:t>
      </w:r>
      <w:r w:rsidR="00A215CF" w:rsidRPr="06F10F4C">
        <w:rPr>
          <w:rFonts w:ascii="Tw Cen MT" w:eastAsia="MS Gothic" w:hAnsi="Tw Cen MT" w:cs="Arial"/>
          <w:b/>
          <w:bCs/>
          <w:i/>
          <w:iCs/>
          <w:color w:val="365F91"/>
          <w:kern w:val="0"/>
          <w:lang w:eastAsia="ja-JP"/>
          <w14:ligatures w14:val="none"/>
        </w:rPr>
        <w:t>rocess</w:t>
      </w:r>
      <w:r w:rsidR="00A215CF" w:rsidRPr="06F10F4C">
        <w:rPr>
          <w:rStyle w:val="FootnoteReference"/>
          <w:rFonts w:ascii="Tw Cen MT" w:eastAsia="MS Gothic" w:hAnsi="Tw Cen MT" w:cs="Arial"/>
          <w:b/>
          <w:bCs/>
          <w:i/>
          <w:iCs/>
          <w:color w:val="365F91"/>
          <w:kern w:val="0"/>
          <w:lang w:eastAsia="ja-JP"/>
          <w14:ligatures w14:val="none"/>
        </w:rPr>
        <w:footnoteReference w:id="2"/>
      </w:r>
    </w:p>
    <w:p w14:paraId="01AF8A24" w14:textId="38EAD172" w:rsidR="00EB0A0B" w:rsidRPr="00A9365E" w:rsidRDefault="00EB0A0B" w:rsidP="00232AD1">
      <w:pPr>
        <w:rPr>
          <w:rFonts w:ascii="Tw Cen MT" w:hAnsi="Tw Cen MT" w:cs="Arial"/>
          <w:sz w:val="22"/>
          <w:szCs w:val="22"/>
        </w:rPr>
      </w:pPr>
    </w:p>
    <w:tbl>
      <w:tblPr>
        <w:tblStyle w:val="ListTable4-Accent51"/>
        <w:tblW w:w="8720" w:type="dxa"/>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ayout w:type="fixed"/>
        <w:tblLook w:val="04A0" w:firstRow="1" w:lastRow="0" w:firstColumn="1" w:lastColumn="0" w:noHBand="0" w:noVBand="1"/>
      </w:tblPr>
      <w:tblGrid>
        <w:gridCol w:w="2085"/>
        <w:gridCol w:w="6635"/>
      </w:tblGrid>
      <w:tr w:rsidR="00EB0A0B" w:rsidRPr="00A9365E" w14:paraId="215F7E8A" w14:textId="77777777" w:rsidTr="2F9A98E0">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03BC2910" w14:textId="77777777" w:rsidR="00EB0A0B" w:rsidRPr="00A9365E" w:rsidRDefault="00EB0A0B">
            <w:pPr>
              <w:spacing w:before="60" w:after="60"/>
              <w:rPr>
                <w:rFonts w:ascii="Tw Cen MT" w:hAnsi="Tw Cen MT" w:cs="Arial"/>
                <w:color w:val="FFFFFF"/>
                <w:lang w:val="en-US"/>
              </w:rPr>
            </w:pPr>
            <w:r w:rsidRPr="00A9365E">
              <w:rPr>
                <w:rFonts w:ascii="Tw Cen MT" w:hAnsi="Tw Cen MT" w:cs="Arial"/>
                <w:color w:val="FFFFFF"/>
                <w:lang w:val="en-US"/>
              </w:rPr>
              <w:t>Item</w:t>
            </w:r>
          </w:p>
        </w:tc>
        <w:tc>
          <w:tcPr>
            <w:tcW w:w="6635"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647FFE96" w14:textId="62B0C64D" w:rsidR="00EB0A0B" w:rsidRPr="00A9365E" w:rsidRDefault="00202EA4">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iCs/>
                <w:color w:val="FFFFFF"/>
                <w:lang w:val="en-US"/>
              </w:rPr>
            </w:pPr>
            <w:r w:rsidRPr="00A9365E">
              <w:rPr>
                <w:rFonts w:ascii="Tw Cen MT" w:hAnsi="Tw Cen MT" w:cs="Arial"/>
                <w:iCs/>
                <w:color w:val="FFFFFF"/>
                <w:lang w:val="en-US"/>
              </w:rPr>
              <w:t>Process</w:t>
            </w:r>
          </w:p>
        </w:tc>
      </w:tr>
      <w:tr w:rsidR="00EB0A0B" w:rsidRPr="00A9365E" w14:paraId="4327932B" w14:textId="77777777" w:rsidTr="2F9A98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678643DB" w14:textId="1A3EAE04" w:rsidR="00EB0A0B" w:rsidRPr="00A9365E" w:rsidRDefault="7F1E354D">
            <w:pPr>
              <w:spacing w:before="60" w:after="60"/>
              <w:rPr>
                <w:rFonts w:ascii="Tw Cen MT" w:hAnsi="Tw Cen MT" w:cs="Arial"/>
                <w:color w:val="000000" w:themeColor="text1"/>
                <w:lang w:val="en-US"/>
              </w:rPr>
            </w:pPr>
            <w:r w:rsidRPr="00A9365E">
              <w:rPr>
                <w:rFonts w:ascii="Tw Cen MT" w:hAnsi="Tw Cen MT" w:cs="Arial"/>
                <w:color w:val="000000" w:themeColor="text1"/>
                <w:lang w:val="en-US"/>
              </w:rPr>
              <w:t>Initiation Phase</w:t>
            </w:r>
          </w:p>
        </w:tc>
        <w:tc>
          <w:tcPr>
            <w:tcW w:w="6635" w:type="dxa"/>
            <w:tcBorders>
              <w:top w:val="single" w:sz="8" w:space="0" w:color="000000" w:themeColor="text1"/>
              <w:bottom w:val="single" w:sz="8" w:space="0" w:color="000000" w:themeColor="text1"/>
              <w:right w:val="nil"/>
            </w:tcBorders>
            <w:shd w:val="clear" w:color="auto" w:fill="auto"/>
          </w:tcPr>
          <w:p w14:paraId="287DC324" w14:textId="2E53EAE9" w:rsidR="00EB0A0B" w:rsidRPr="00A9365E" w:rsidRDefault="49C9DF4E" w:rsidP="00C118FA">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w:t>
            </w:r>
            <w:r w:rsidR="0BD92900" w:rsidRPr="00A9365E">
              <w:rPr>
                <w:rFonts w:ascii="Tw Cen MT" w:eastAsia="Interstate-Light" w:hAnsi="Tw Cen MT" w:cs="Arial"/>
                <w:color w:val="000000" w:themeColor="text1"/>
                <w:lang w:val="en-US"/>
              </w:rPr>
              <w:t>u</w:t>
            </w:r>
            <w:r w:rsidRPr="00A9365E">
              <w:rPr>
                <w:rFonts w:ascii="Tw Cen MT" w:eastAsia="Interstate-Light" w:hAnsi="Tw Cen MT" w:cs="Arial"/>
                <w:color w:val="000000" w:themeColor="text1"/>
                <w:lang w:val="en-US"/>
              </w:rPr>
              <w:t>tility</w:t>
            </w:r>
            <w:r w:rsidR="00006682" w:rsidRPr="00A9365E">
              <w:rPr>
                <w:rStyle w:val="FootnoteReference"/>
                <w:rFonts w:ascii="Tw Cen MT" w:eastAsia="Interstate-Light" w:hAnsi="Tw Cen MT" w:cs="Arial"/>
                <w:color w:val="000000" w:themeColor="text1"/>
                <w:lang w:val="en-US"/>
              </w:rPr>
              <w:footnoteReference w:id="3"/>
            </w:r>
            <w:r w:rsidRPr="00A9365E">
              <w:rPr>
                <w:rFonts w:ascii="Tw Cen MT" w:eastAsia="Interstate-Light" w:hAnsi="Tw Cen MT" w:cs="Arial"/>
                <w:color w:val="000000" w:themeColor="text1"/>
                <w:lang w:val="en-US"/>
              </w:rPr>
              <w:t xml:space="preserve"> and</w:t>
            </w:r>
            <w:r w:rsidR="23E7B75F" w:rsidRPr="00A9365E">
              <w:rPr>
                <w:rFonts w:ascii="Tw Cen MT" w:eastAsia="Interstate-Light" w:hAnsi="Tw Cen MT" w:cs="Arial"/>
                <w:color w:val="000000" w:themeColor="text1"/>
                <w:lang w:val="en-US"/>
              </w:rPr>
              <w:t>/or</w:t>
            </w:r>
            <w:r w:rsidRPr="00A9365E">
              <w:rPr>
                <w:rFonts w:ascii="Tw Cen MT" w:eastAsia="Interstate-Light" w:hAnsi="Tw Cen MT" w:cs="Arial"/>
                <w:color w:val="000000" w:themeColor="text1"/>
                <w:lang w:val="en-US"/>
              </w:rPr>
              <w:t xml:space="preserve"> the developer identify the potential customer that requires </w:t>
            </w:r>
            <w:r w:rsidR="4E3EB055" w:rsidRPr="00A9365E">
              <w:rPr>
                <w:rFonts w:ascii="Tw Cen MT" w:eastAsia="Interstate-Light" w:hAnsi="Tw Cen MT" w:cs="Arial"/>
                <w:color w:val="000000" w:themeColor="text1"/>
                <w:lang w:val="en-US"/>
              </w:rPr>
              <w:t>these</w:t>
            </w:r>
            <w:r w:rsidRPr="00A9365E">
              <w:rPr>
                <w:rFonts w:ascii="Tw Cen MT" w:eastAsia="Interstate-Light" w:hAnsi="Tw Cen MT" w:cs="Arial"/>
                <w:color w:val="000000" w:themeColor="text1"/>
                <w:lang w:val="en-US"/>
              </w:rPr>
              <w:t xml:space="preserve"> services and initiate customer engagement</w:t>
            </w:r>
            <w:r w:rsidR="21C37065" w:rsidRPr="00A9365E">
              <w:rPr>
                <w:rStyle w:val="FootnoteReference"/>
                <w:rFonts w:ascii="Tw Cen MT" w:eastAsia="Interstate-Light" w:hAnsi="Tw Cen MT" w:cs="Arial"/>
                <w:color w:val="000000" w:themeColor="text1"/>
                <w:lang w:val="en-US"/>
              </w:rPr>
              <w:footnoteReference w:id="4"/>
            </w:r>
            <w:r w:rsidR="2C9A51E3" w:rsidRPr="00A9365E">
              <w:rPr>
                <w:rFonts w:ascii="Tw Cen MT" w:eastAsia="Interstate-Light" w:hAnsi="Tw Cen MT" w:cs="Arial"/>
                <w:color w:val="000000" w:themeColor="text1"/>
                <w:lang w:val="en-US"/>
              </w:rPr>
              <w:t xml:space="preserve"> to </w:t>
            </w:r>
            <w:r w:rsidR="611AD44D" w:rsidRPr="00A9365E">
              <w:rPr>
                <w:rFonts w:ascii="Tw Cen MT" w:eastAsia="Interstate-Light" w:hAnsi="Tw Cen MT" w:cs="Arial"/>
                <w:color w:val="000000" w:themeColor="text1"/>
                <w:lang w:val="en-US"/>
              </w:rPr>
              <w:t>understand their interest in wanting reliable power</w:t>
            </w:r>
            <w:r w:rsidR="3AE182B5" w:rsidRPr="00A9365E">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 xml:space="preserve"> </w:t>
            </w:r>
            <w:r w:rsidR="2BA4A14C" w:rsidRPr="00A9365E">
              <w:rPr>
                <w:rFonts w:ascii="Tw Cen MT" w:eastAsia="Interstate-Light" w:hAnsi="Tw Cen MT" w:cs="Arial"/>
                <w:color w:val="000000" w:themeColor="text1"/>
                <w:lang w:val="en-US"/>
              </w:rPr>
              <w:t xml:space="preserve">At this phase, the developer and utility </w:t>
            </w:r>
            <w:r w:rsidR="6656F853" w:rsidRPr="00A9365E">
              <w:rPr>
                <w:rFonts w:ascii="Tw Cen MT" w:eastAsia="Interstate-Light" w:hAnsi="Tw Cen MT" w:cs="Arial"/>
                <w:color w:val="000000" w:themeColor="text1"/>
                <w:lang w:val="en-US"/>
              </w:rPr>
              <w:t>will</w:t>
            </w:r>
            <w:r w:rsidR="73DD7472" w:rsidRPr="00A9365E">
              <w:rPr>
                <w:rFonts w:ascii="Tw Cen MT" w:eastAsia="Interstate-Light" w:hAnsi="Tw Cen MT" w:cs="Arial"/>
                <w:color w:val="000000" w:themeColor="text1"/>
                <w:lang w:val="en-US"/>
              </w:rPr>
              <w:t xml:space="preserve"> kick off </w:t>
            </w:r>
            <w:r w:rsidR="49D762FC" w:rsidRPr="00A9365E">
              <w:rPr>
                <w:rFonts w:ascii="Tw Cen MT" w:eastAsia="Interstate-Light" w:hAnsi="Tw Cen MT" w:cs="Arial"/>
                <w:color w:val="000000" w:themeColor="text1"/>
                <w:lang w:val="en-US"/>
              </w:rPr>
              <w:t>alignment on the project</w:t>
            </w:r>
            <w:r w:rsidR="008467A7">
              <w:rPr>
                <w:rFonts w:ascii="Tw Cen MT" w:eastAsia="Interstate-Light" w:hAnsi="Tw Cen MT" w:cs="Arial"/>
                <w:color w:val="000000" w:themeColor="text1"/>
                <w:lang w:val="en-US"/>
              </w:rPr>
              <w:t xml:space="preserve"> </w:t>
            </w:r>
            <w:r w:rsidR="2BA4A14C" w:rsidRPr="00A9365E">
              <w:rPr>
                <w:rFonts w:ascii="Tw Cen MT" w:eastAsia="Interstate-Light" w:hAnsi="Tw Cen MT" w:cs="Arial"/>
                <w:color w:val="000000" w:themeColor="text1"/>
                <w:lang w:val="en-US"/>
              </w:rPr>
              <w:t>contract</w:t>
            </w:r>
            <w:r w:rsidR="3AC7B0B4" w:rsidRPr="00A9365E">
              <w:rPr>
                <w:rFonts w:ascii="Tw Cen MT" w:eastAsia="Interstate-Light" w:hAnsi="Tw Cen MT" w:cs="Arial"/>
                <w:color w:val="000000" w:themeColor="text1"/>
                <w:lang w:val="en-US"/>
              </w:rPr>
              <w:t xml:space="preserve"> </w:t>
            </w:r>
            <w:r w:rsidR="2BA4A14C" w:rsidRPr="00A9365E">
              <w:rPr>
                <w:rFonts w:ascii="Tw Cen MT" w:eastAsia="Interstate-Light" w:hAnsi="Tw Cen MT" w:cs="Arial"/>
                <w:color w:val="000000" w:themeColor="text1"/>
                <w:lang w:val="en-US"/>
              </w:rPr>
              <w:t>terms</w:t>
            </w:r>
            <w:r w:rsidR="63B236F3" w:rsidRPr="00A9365E">
              <w:rPr>
                <w:rFonts w:ascii="Tw Cen MT" w:eastAsia="Interstate-Light" w:hAnsi="Tw Cen MT" w:cs="Arial"/>
                <w:color w:val="000000" w:themeColor="text1"/>
                <w:lang w:val="en-US"/>
              </w:rPr>
              <w:t>.</w:t>
            </w:r>
          </w:p>
        </w:tc>
      </w:tr>
      <w:tr w:rsidR="00C118FA" w:rsidRPr="00A9365E" w14:paraId="64C8A1CA" w14:textId="77777777" w:rsidTr="2F9A98E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4A2099CE" w14:textId="69EF11FF" w:rsidR="00C118FA" w:rsidRPr="00A9365E" w:rsidRDefault="50957740">
            <w:pPr>
              <w:spacing w:before="60" w:after="60"/>
              <w:rPr>
                <w:rFonts w:ascii="Tw Cen MT" w:hAnsi="Tw Cen MT" w:cs="Arial"/>
                <w:color w:val="000000" w:themeColor="text1"/>
                <w:lang w:val="en-US"/>
              </w:rPr>
            </w:pPr>
            <w:r w:rsidRPr="00A9365E">
              <w:rPr>
                <w:rFonts w:ascii="Tw Cen MT" w:hAnsi="Tw Cen MT" w:cs="Arial"/>
                <w:color w:val="000000" w:themeColor="text1"/>
                <w:lang w:val="en-US"/>
              </w:rPr>
              <w:t>Preparation</w:t>
            </w:r>
            <w:r w:rsidR="00B64108" w:rsidRPr="00A9365E">
              <w:rPr>
                <w:rFonts w:ascii="Tw Cen MT" w:hAnsi="Tw Cen MT" w:cs="Arial"/>
                <w:color w:val="000000" w:themeColor="text1"/>
                <w:lang w:val="en-US"/>
              </w:rPr>
              <w:t xml:space="preserve"> </w:t>
            </w:r>
            <w:r w:rsidR="7C2A1DBF" w:rsidRPr="00A9365E">
              <w:rPr>
                <w:rFonts w:ascii="Tw Cen MT" w:hAnsi="Tw Cen MT" w:cs="Arial"/>
                <w:color w:val="000000" w:themeColor="text1"/>
                <w:lang w:val="en-US"/>
              </w:rPr>
              <w:t>Phase</w:t>
            </w:r>
            <w:r w:rsidR="00B64108" w:rsidRPr="00A9365E">
              <w:rPr>
                <w:rFonts w:ascii="Tw Cen MT" w:hAnsi="Tw Cen MT" w:cs="Arial"/>
                <w:color w:val="000000" w:themeColor="text1"/>
                <w:lang w:val="en-US"/>
              </w:rPr>
              <w:t xml:space="preserve"> </w:t>
            </w:r>
          </w:p>
        </w:tc>
        <w:tc>
          <w:tcPr>
            <w:tcW w:w="6635" w:type="dxa"/>
            <w:tcBorders>
              <w:top w:val="single" w:sz="8" w:space="0" w:color="000000" w:themeColor="text1"/>
              <w:bottom w:val="single" w:sz="8" w:space="0" w:color="000000" w:themeColor="text1"/>
              <w:right w:val="nil"/>
            </w:tcBorders>
            <w:shd w:val="clear" w:color="auto" w:fill="auto"/>
          </w:tcPr>
          <w:p w14:paraId="5FB95A43" w14:textId="358E14AD" w:rsidR="00C118FA" w:rsidRPr="00A9365E" w:rsidRDefault="00C118FA" w:rsidP="00C118FA">
            <w:pPr>
              <w:numPr>
                <w:ilvl w:val="0"/>
                <w:numId w:val="2"/>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A9365E">
              <w:rPr>
                <w:rFonts w:ascii="Tw Cen MT" w:eastAsia="Interstate-Light" w:hAnsi="Tw Cen MT" w:cs="Arial"/>
                <w:color w:val="000000" w:themeColor="text1"/>
                <w:lang w:val="en-US"/>
              </w:rPr>
              <w:t xml:space="preserve">The </w:t>
            </w:r>
            <w:r w:rsidR="00680449" w:rsidRPr="00A9365E">
              <w:rPr>
                <w:rFonts w:ascii="Tw Cen MT" w:eastAsia="Interstate-Light" w:hAnsi="Tw Cen MT" w:cs="Arial"/>
                <w:color w:val="000000" w:themeColor="text1"/>
                <w:lang w:val="en-US"/>
              </w:rPr>
              <w:t>u</w:t>
            </w:r>
            <w:r w:rsidRPr="00A9365E">
              <w:rPr>
                <w:rFonts w:ascii="Tw Cen MT" w:eastAsia="Interstate-Light" w:hAnsi="Tw Cen MT" w:cs="Arial"/>
                <w:color w:val="000000" w:themeColor="text1"/>
                <w:lang w:val="en-US"/>
              </w:rPr>
              <w:t>tility and the selected developer will agree</w:t>
            </w:r>
            <w:r w:rsidR="009723B1" w:rsidRPr="00A9365E">
              <w:rPr>
                <w:rFonts w:ascii="Tw Cen MT" w:eastAsia="Interstate-Light" w:hAnsi="Tw Cen MT" w:cs="Arial"/>
                <w:color w:val="000000" w:themeColor="text1"/>
                <w:lang w:val="en-US"/>
              </w:rPr>
              <w:t xml:space="preserve"> on the on-site solution design</w:t>
            </w:r>
            <w:r w:rsidR="00C5666D" w:rsidRPr="00A9365E">
              <w:rPr>
                <w:rStyle w:val="FootnoteReference"/>
                <w:rFonts w:ascii="Tw Cen MT" w:eastAsia="Interstate-Light" w:hAnsi="Tw Cen MT" w:cs="Arial"/>
                <w:color w:val="000000" w:themeColor="text1"/>
                <w:lang w:val="en-US"/>
              </w:rPr>
              <w:footnoteReference w:id="5"/>
            </w:r>
            <w:r w:rsidR="009723B1" w:rsidRPr="00A9365E">
              <w:rPr>
                <w:rFonts w:ascii="Tw Cen MT" w:eastAsia="Interstate-Light" w:hAnsi="Tw Cen MT" w:cs="Arial"/>
                <w:color w:val="000000" w:themeColor="text1"/>
                <w:lang w:val="en-US"/>
              </w:rPr>
              <w:t xml:space="preserve"> implemented by the developer</w:t>
            </w:r>
            <w:r w:rsidR="00066E8A" w:rsidRPr="00A9365E">
              <w:rPr>
                <w:rFonts w:ascii="Tw Cen MT" w:eastAsia="Interstate-Light" w:hAnsi="Tw Cen MT" w:cs="Arial"/>
                <w:color w:val="000000" w:themeColor="text1"/>
                <w:lang w:val="en-US"/>
              </w:rPr>
              <w:t xml:space="preserve">, further </w:t>
            </w:r>
            <w:r w:rsidR="0045788C" w:rsidRPr="00A9365E">
              <w:rPr>
                <w:rFonts w:ascii="Tw Cen MT" w:eastAsia="Interstate-Light" w:hAnsi="Tw Cen MT" w:cs="Arial"/>
                <w:color w:val="000000" w:themeColor="text1"/>
                <w:lang w:val="en-US"/>
              </w:rPr>
              <w:t>engage</w:t>
            </w:r>
            <w:r w:rsidR="00066E8A" w:rsidRPr="00A9365E">
              <w:rPr>
                <w:rFonts w:ascii="Tw Cen MT" w:eastAsia="Interstate-Light" w:hAnsi="Tw Cen MT" w:cs="Arial"/>
                <w:color w:val="000000" w:themeColor="text1"/>
                <w:lang w:val="en-US"/>
              </w:rPr>
              <w:t xml:space="preserve"> with the customer regarding the </w:t>
            </w:r>
            <w:r w:rsidR="00E811DE" w:rsidRPr="00A9365E">
              <w:rPr>
                <w:rFonts w:ascii="Tw Cen MT" w:eastAsia="Interstate-Light" w:hAnsi="Tw Cen MT" w:cs="Arial"/>
                <w:color w:val="000000" w:themeColor="text1"/>
                <w:lang w:val="en-US"/>
              </w:rPr>
              <w:t>business model</w:t>
            </w:r>
            <w:r w:rsidR="000D673F" w:rsidRPr="00A9365E">
              <w:rPr>
                <w:rFonts w:ascii="Tw Cen MT" w:eastAsia="Interstate-Light" w:hAnsi="Tw Cen MT" w:cs="Arial"/>
                <w:color w:val="000000" w:themeColor="text1"/>
                <w:lang w:val="en-US"/>
              </w:rPr>
              <w:t xml:space="preserve">, </w:t>
            </w:r>
            <w:r w:rsidR="00260EBD" w:rsidRPr="00A9365E">
              <w:rPr>
                <w:rFonts w:ascii="Tw Cen MT" w:eastAsia="Interstate-Light" w:hAnsi="Tw Cen MT" w:cs="Arial"/>
                <w:color w:val="000000" w:themeColor="text1"/>
                <w:lang w:val="en-US"/>
              </w:rPr>
              <w:t xml:space="preserve">and </w:t>
            </w:r>
            <w:r w:rsidR="000D673F" w:rsidRPr="00A9365E">
              <w:rPr>
                <w:rFonts w:ascii="Tw Cen MT" w:eastAsia="Interstate-Light" w:hAnsi="Tw Cen MT" w:cs="Arial"/>
                <w:color w:val="000000" w:themeColor="text1"/>
                <w:lang w:val="en-US"/>
              </w:rPr>
              <w:t>ass</w:t>
            </w:r>
            <w:r w:rsidR="0045788C" w:rsidRPr="00A9365E">
              <w:rPr>
                <w:rFonts w:ascii="Tw Cen MT" w:eastAsia="Interstate-Light" w:hAnsi="Tw Cen MT" w:cs="Arial"/>
                <w:color w:val="000000" w:themeColor="text1"/>
                <w:lang w:val="en-US"/>
              </w:rPr>
              <w:t xml:space="preserve">ess the viability of the </w:t>
            </w:r>
            <w:r w:rsidR="00066E8A" w:rsidRPr="00A9365E">
              <w:rPr>
                <w:rFonts w:ascii="Tw Cen MT" w:eastAsia="Interstate-Light" w:hAnsi="Tw Cen MT" w:cs="Arial"/>
                <w:color w:val="000000" w:themeColor="text1"/>
                <w:lang w:val="en-US"/>
              </w:rPr>
              <w:t>proposed solution</w:t>
            </w:r>
            <w:r w:rsidR="003755BC" w:rsidRPr="00A9365E">
              <w:rPr>
                <w:rStyle w:val="FootnoteReference"/>
                <w:rFonts w:ascii="Tw Cen MT" w:eastAsia="Interstate-Light" w:hAnsi="Tw Cen MT" w:cs="Arial"/>
                <w:color w:val="000000" w:themeColor="text1"/>
                <w:lang w:val="en-US"/>
              </w:rPr>
              <w:footnoteReference w:id="6"/>
            </w:r>
            <w:r w:rsidR="00E60EFE" w:rsidRPr="00A9365E">
              <w:rPr>
                <w:rFonts w:ascii="Tw Cen MT" w:eastAsia="Interstate-Light" w:hAnsi="Tw Cen MT" w:cs="Arial"/>
                <w:color w:val="000000" w:themeColor="text1"/>
                <w:lang w:val="en-US"/>
              </w:rPr>
              <w:t>.</w:t>
            </w:r>
            <w:r w:rsidR="5BB12311" w:rsidRPr="00A9365E">
              <w:rPr>
                <w:rFonts w:ascii="Tw Cen MT" w:eastAsia="Interstate-Light" w:hAnsi="Tw Cen MT" w:cs="Arial"/>
                <w:color w:val="000000" w:themeColor="text1"/>
                <w:lang w:val="en-US"/>
              </w:rPr>
              <w:t xml:space="preserve"> </w:t>
            </w:r>
            <w:r w:rsidR="212E168F" w:rsidRPr="00A9365E">
              <w:rPr>
                <w:rFonts w:ascii="Tw Cen MT" w:eastAsia="Interstate-Light" w:hAnsi="Tw Cen MT" w:cs="Arial"/>
                <w:color w:val="000000" w:themeColor="text1"/>
                <w:lang w:val="en-US"/>
              </w:rPr>
              <w:t xml:space="preserve"> </w:t>
            </w:r>
          </w:p>
        </w:tc>
      </w:tr>
      <w:tr w:rsidR="00E60EFE" w:rsidRPr="00A9365E" w14:paraId="61F50AE4" w14:textId="77777777" w:rsidTr="2F9A98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76C48F58" w14:textId="468C279D" w:rsidR="00E60EFE" w:rsidRPr="00A9365E" w:rsidRDefault="57450DA4">
            <w:pPr>
              <w:spacing w:before="60" w:after="60"/>
              <w:rPr>
                <w:rFonts w:ascii="Tw Cen MT" w:hAnsi="Tw Cen MT" w:cs="Arial"/>
                <w:color w:val="000000" w:themeColor="text1"/>
                <w:lang w:val="en-US"/>
              </w:rPr>
            </w:pPr>
            <w:r w:rsidRPr="00A9365E">
              <w:rPr>
                <w:rFonts w:ascii="Tw Cen MT" w:hAnsi="Tw Cen MT" w:cs="Arial"/>
                <w:color w:val="000000" w:themeColor="text1"/>
                <w:lang w:val="en-US"/>
              </w:rPr>
              <w:t>Execution</w:t>
            </w:r>
            <w:r w:rsidR="2ADCD7E2" w:rsidRPr="00A9365E">
              <w:rPr>
                <w:rFonts w:ascii="Tw Cen MT" w:hAnsi="Tw Cen MT" w:cs="Arial"/>
                <w:color w:val="000000" w:themeColor="text1"/>
                <w:lang w:val="en-US"/>
              </w:rPr>
              <w:t xml:space="preserve"> Phase</w:t>
            </w:r>
          </w:p>
        </w:tc>
        <w:tc>
          <w:tcPr>
            <w:tcW w:w="6635" w:type="dxa"/>
            <w:tcBorders>
              <w:top w:val="single" w:sz="8" w:space="0" w:color="000000" w:themeColor="text1"/>
              <w:bottom w:val="single" w:sz="8" w:space="0" w:color="000000" w:themeColor="text1"/>
              <w:right w:val="nil"/>
            </w:tcBorders>
            <w:shd w:val="clear" w:color="auto" w:fill="auto"/>
          </w:tcPr>
          <w:p w14:paraId="6DBC0ABE" w14:textId="2E7F0A25" w:rsidR="00E60EFE" w:rsidRPr="00A9365E" w:rsidRDefault="5772F661" w:rsidP="00B31CEC">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w:t>
            </w:r>
            <w:r w:rsidR="0080369D" w:rsidRPr="00A9365E">
              <w:rPr>
                <w:rFonts w:ascii="Tw Cen MT" w:eastAsia="Interstate-Light" w:hAnsi="Tw Cen MT" w:cs="Arial"/>
                <w:color w:val="000000" w:themeColor="text1"/>
                <w:lang w:val="en-US"/>
              </w:rPr>
              <w:t xml:space="preserve"> utility and the developer have aligned on a draft agreement that will be shared with the customer. </w:t>
            </w:r>
            <w:r w:rsidR="00447D33" w:rsidRPr="00A9365E">
              <w:rPr>
                <w:rFonts w:ascii="Tw Cen MT" w:eastAsia="Interstate-Light" w:hAnsi="Tw Cen MT" w:cs="Arial"/>
                <w:color w:val="000000" w:themeColor="text1"/>
                <w:lang w:val="en-US"/>
              </w:rPr>
              <w:t>The customer</w:t>
            </w:r>
            <w:r w:rsidR="00B31CEC" w:rsidRPr="00A9365E">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 xml:space="preserve">signs a contract with the </w:t>
            </w:r>
            <w:r w:rsidR="00215D2A" w:rsidRPr="00A9365E">
              <w:rPr>
                <w:rFonts w:ascii="Tw Cen MT" w:eastAsia="Interstate-Light" w:hAnsi="Tw Cen MT" w:cs="Arial"/>
                <w:color w:val="000000" w:themeColor="text1"/>
                <w:lang w:val="en-US"/>
              </w:rPr>
              <w:t>u</w:t>
            </w:r>
            <w:r w:rsidRPr="00A9365E">
              <w:rPr>
                <w:rFonts w:ascii="Tw Cen MT" w:eastAsia="Interstate-Light" w:hAnsi="Tw Cen MT" w:cs="Arial"/>
                <w:color w:val="000000" w:themeColor="text1"/>
                <w:lang w:val="en-US"/>
              </w:rPr>
              <w:t>tility and the selected developer</w:t>
            </w:r>
            <w:r w:rsidR="005D357E" w:rsidRPr="00A9365E">
              <w:rPr>
                <w:rFonts w:ascii="Tw Cen MT" w:eastAsia="Interstate-Light" w:hAnsi="Tw Cen MT" w:cs="Arial"/>
                <w:color w:val="000000" w:themeColor="text1"/>
                <w:lang w:val="en-US"/>
              </w:rPr>
              <w:t>. System construction an</w:t>
            </w:r>
            <w:r w:rsidR="00A12220" w:rsidRPr="00A9365E">
              <w:rPr>
                <w:rFonts w:ascii="Tw Cen MT" w:eastAsia="Interstate-Light" w:hAnsi="Tw Cen MT" w:cs="Arial"/>
                <w:color w:val="000000" w:themeColor="text1"/>
                <w:lang w:val="en-US"/>
              </w:rPr>
              <w:t>d</w:t>
            </w:r>
            <w:r w:rsidR="005D357E" w:rsidRPr="00A9365E">
              <w:rPr>
                <w:rFonts w:ascii="Tw Cen MT" w:eastAsia="Interstate-Light" w:hAnsi="Tw Cen MT" w:cs="Arial"/>
                <w:color w:val="000000" w:themeColor="text1"/>
                <w:lang w:val="en-US"/>
              </w:rPr>
              <w:t xml:space="preserve"> implementation of distribution network </w:t>
            </w:r>
            <w:r w:rsidR="00A12220" w:rsidRPr="00A9365E">
              <w:rPr>
                <w:rFonts w:ascii="Tw Cen MT" w:eastAsia="Interstate-Light" w:hAnsi="Tw Cen MT" w:cs="Arial"/>
                <w:color w:val="000000" w:themeColor="text1"/>
                <w:lang w:val="en-US"/>
              </w:rPr>
              <w:t xml:space="preserve">upgrade is executed. </w:t>
            </w:r>
            <w:r w:rsidR="00C330D6" w:rsidRPr="00A9365E">
              <w:rPr>
                <w:rFonts w:ascii="Tw Cen MT" w:eastAsia="Interstate-Light" w:hAnsi="Tw Cen MT" w:cs="Arial"/>
                <w:color w:val="000000" w:themeColor="text1"/>
                <w:lang w:val="en-US"/>
              </w:rPr>
              <w:t>The s</w:t>
            </w:r>
            <w:r w:rsidR="00B64108" w:rsidRPr="00A9365E">
              <w:rPr>
                <w:rFonts w:ascii="Tw Cen MT" w:eastAsia="Interstate-Light" w:hAnsi="Tw Cen MT" w:cs="Arial"/>
                <w:color w:val="000000" w:themeColor="text1"/>
                <w:lang w:val="en-US"/>
              </w:rPr>
              <w:t xml:space="preserve">ervices </w:t>
            </w:r>
            <w:r w:rsidR="07EB61E6" w:rsidRPr="00A9365E">
              <w:rPr>
                <w:rFonts w:ascii="Tw Cen MT" w:eastAsia="Interstate-Light" w:hAnsi="Tw Cen MT" w:cs="Arial"/>
                <w:color w:val="000000" w:themeColor="text1"/>
                <w:lang w:val="en-US"/>
              </w:rPr>
              <w:t xml:space="preserve">to the customer </w:t>
            </w:r>
            <w:r w:rsidR="00B64108" w:rsidRPr="00A9365E">
              <w:rPr>
                <w:rFonts w:ascii="Tw Cen MT" w:eastAsia="Interstate-Light" w:hAnsi="Tw Cen MT" w:cs="Arial"/>
                <w:color w:val="000000" w:themeColor="text1"/>
                <w:lang w:val="en-US"/>
              </w:rPr>
              <w:t xml:space="preserve">will be </w:t>
            </w:r>
            <w:r w:rsidR="00C330D6" w:rsidRPr="00A9365E">
              <w:rPr>
                <w:rFonts w:ascii="Tw Cen MT" w:eastAsia="Interstate-Light" w:hAnsi="Tw Cen MT" w:cs="Arial"/>
                <w:color w:val="000000" w:themeColor="text1"/>
                <w:lang w:val="en-US"/>
              </w:rPr>
              <w:t xml:space="preserve">initiated </w:t>
            </w:r>
            <w:r w:rsidR="00B64108" w:rsidRPr="00A9365E">
              <w:rPr>
                <w:rFonts w:ascii="Tw Cen MT" w:eastAsia="Interstate-Light" w:hAnsi="Tw Cen MT" w:cs="Arial"/>
                <w:color w:val="000000" w:themeColor="text1"/>
                <w:lang w:val="en-US"/>
              </w:rPr>
              <w:t xml:space="preserve">based on the terms of the </w:t>
            </w:r>
            <w:r w:rsidR="00C330D6" w:rsidRPr="00A9365E">
              <w:rPr>
                <w:rFonts w:ascii="Tw Cen MT" w:eastAsia="Interstate-Light" w:hAnsi="Tw Cen MT" w:cs="Arial"/>
                <w:color w:val="000000" w:themeColor="text1"/>
                <w:lang w:val="en-US"/>
              </w:rPr>
              <w:t>agreement.</w:t>
            </w:r>
          </w:p>
        </w:tc>
      </w:tr>
    </w:tbl>
    <w:p w14:paraId="5EB3E2DE" w14:textId="77777777" w:rsidR="00B817CF" w:rsidRPr="00A9365E" w:rsidRDefault="00B817CF" w:rsidP="6CD2089A">
      <w:pPr>
        <w:keepNext/>
        <w:keepLines/>
        <w:spacing w:before="200"/>
        <w:rPr>
          <w:rFonts w:ascii="Tw Cen MT" w:hAnsi="Tw Cen MT"/>
          <w:kern w:val="0"/>
          <w:lang w:eastAsia="ja-JP"/>
          <w14:ligatures w14:val="none"/>
        </w:rPr>
        <w:sectPr w:rsidR="00B817CF" w:rsidRPr="00A9365E" w:rsidSect="00BE5A6A">
          <w:headerReference w:type="default" r:id="rId17"/>
          <w:pgSz w:w="12240" w:h="15840"/>
          <w:pgMar w:top="1440" w:right="1440" w:bottom="1440" w:left="1440" w:header="720" w:footer="720" w:gutter="0"/>
          <w:cols w:space="720"/>
          <w:titlePg/>
          <w:docGrid w:linePitch="360"/>
        </w:sectPr>
      </w:pPr>
    </w:p>
    <w:p w14:paraId="325F1928" w14:textId="63A02360" w:rsidR="007A1E82" w:rsidRPr="00A9365E" w:rsidRDefault="00607822" w:rsidP="06F10F4C">
      <w:pPr>
        <w:pStyle w:val="ListParagraph"/>
        <w:keepNext/>
        <w:keepLines/>
        <w:numPr>
          <w:ilvl w:val="0"/>
          <w:numId w:val="6"/>
        </w:numPr>
        <w:spacing w:before="200"/>
        <w:ind w:left="0" w:hanging="450"/>
        <w:jc w:val="both"/>
        <w:outlineLvl w:val="1"/>
        <w:rPr>
          <w:rFonts w:eastAsia="MS Gothic" w:cs="Arial"/>
          <w:b/>
          <w:bCs/>
          <w:color w:val="1F497D"/>
          <w:kern w:val="0"/>
          <w:sz w:val="26"/>
          <w:szCs w:val="26"/>
          <w:lang w:eastAsia="ja-JP"/>
          <w14:ligatures w14:val="none"/>
        </w:rPr>
      </w:pPr>
      <w:r w:rsidRPr="06F10F4C">
        <w:rPr>
          <w:rFonts w:eastAsia="MS Gothic" w:cs="Arial"/>
          <w:b/>
          <w:bCs/>
          <w:color w:val="1F497D"/>
          <w:kern w:val="0"/>
          <w:sz w:val="26"/>
          <w:szCs w:val="26"/>
          <w:lang w:eastAsia="ja-JP"/>
          <w14:ligatures w14:val="none"/>
        </w:rPr>
        <w:lastRenderedPageBreak/>
        <w:t xml:space="preserve">Key </w:t>
      </w:r>
      <w:r w:rsidR="07821D04" w:rsidRPr="06F10F4C">
        <w:rPr>
          <w:rFonts w:eastAsia="MS Gothic" w:cs="Arial"/>
          <w:b/>
          <w:bCs/>
          <w:color w:val="1F497D"/>
          <w:kern w:val="0"/>
          <w:sz w:val="26"/>
          <w:szCs w:val="26"/>
          <w:lang w:eastAsia="ja-JP"/>
          <w14:ligatures w14:val="none"/>
        </w:rPr>
        <w:t>c</w:t>
      </w:r>
      <w:r w:rsidRPr="06F10F4C">
        <w:rPr>
          <w:rFonts w:eastAsia="MS Gothic" w:cs="Arial"/>
          <w:b/>
          <w:bCs/>
          <w:color w:val="1F497D"/>
          <w:kern w:val="0"/>
          <w:sz w:val="26"/>
          <w:szCs w:val="26"/>
          <w:lang w:eastAsia="ja-JP"/>
          <w14:ligatures w14:val="none"/>
        </w:rPr>
        <w:t xml:space="preserve">ontract </w:t>
      </w:r>
      <w:r w:rsidR="29A5142A" w:rsidRPr="06F10F4C">
        <w:rPr>
          <w:rFonts w:eastAsia="MS Gothic" w:cs="Arial"/>
          <w:b/>
          <w:bCs/>
          <w:color w:val="1F497D"/>
          <w:kern w:val="0"/>
          <w:sz w:val="26"/>
          <w:szCs w:val="26"/>
          <w:lang w:eastAsia="ja-JP"/>
          <w14:ligatures w14:val="none"/>
        </w:rPr>
        <w:t>t</w:t>
      </w:r>
      <w:r w:rsidR="00120318" w:rsidRPr="06F10F4C">
        <w:rPr>
          <w:rFonts w:eastAsia="MS Gothic" w:cs="Arial"/>
          <w:b/>
          <w:bCs/>
          <w:color w:val="1F497D"/>
          <w:kern w:val="0"/>
          <w:sz w:val="26"/>
          <w:szCs w:val="26"/>
          <w:lang w:eastAsia="ja-JP"/>
          <w14:ligatures w14:val="none"/>
        </w:rPr>
        <w:t xml:space="preserve">erms and </w:t>
      </w:r>
      <w:r w:rsidR="011FC084" w:rsidRPr="06F10F4C">
        <w:rPr>
          <w:rFonts w:eastAsia="MS Gothic" w:cs="Arial"/>
          <w:b/>
          <w:bCs/>
          <w:color w:val="1F497D"/>
          <w:kern w:val="0"/>
          <w:sz w:val="26"/>
          <w:szCs w:val="26"/>
          <w:lang w:eastAsia="ja-JP"/>
          <w14:ligatures w14:val="none"/>
        </w:rPr>
        <w:t>t</w:t>
      </w:r>
      <w:r w:rsidR="00120318" w:rsidRPr="06F10F4C">
        <w:rPr>
          <w:rFonts w:eastAsia="MS Gothic" w:cs="Arial"/>
          <w:b/>
          <w:bCs/>
          <w:color w:val="1F497D"/>
          <w:kern w:val="0"/>
          <w:sz w:val="26"/>
          <w:szCs w:val="26"/>
          <w:lang w:eastAsia="ja-JP"/>
          <w14:ligatures w14:val="none"/>
        </w:rPr>
        <w:t xml:space="preserve">heir </w:t>
      </w:r>
      <w:r w:rsidR="14442B9F" w:rsidRPr="06F10F4C">
        <w:rPr>
          <w:rFonts w:eastAsia="MS Gothic" w:cs="Arial"/>
          <w:b/>
          <w:bCs/>
          <w:color w:val="1F497D"/>
          <w:kern w:val="0"/>
          <w:sz w:val="26"/>
          <w:szCs w:val="26"/>
          <w:lang w:eastAsia="ja-JP"/>
          <w14:ligatures w14:val="none"/>
        </w:rPr>
        <w:t>r</w:t>
      </w:r>
      <w:r w:rsidR="00120318" w:rsidRPr="06F10F4C">
        <w:rPr>
          <w:rFonts w:eastAsia="MS Gothic" w:cs="Arial"/>
          <w:b/>
          <w:bCs/>
          <w:color w:val="1F497D"/>
          <w:kern w:val="0"/>
          <w:sz w:val="26"/>
          <w:szCs w:val="26"/>
          <w:lang w:eastAsia="ja-JP"/>
          <w14:ligatures w14:val="none"/>
        </w:rPr>
        <w:t>ational</w:t>
      </w:r>
      <w:r w:rsidR="00B568C7" w:rsidRPr="06F10F4C">
        <w:rPr>
          <w:rFonts w:eastAsia="MS Gothic" w:cs="Arial"/>
          <w:b/>
          <w:bCs/>
          <w:color w:val="1F497D"/>
          <w:kern w:val="0"/>
          <w:sz w:val="26"/>
          <w:szCs w:val="26"/>
          <w:lang w:eastAsia="ja-JP"/>
          <w14:ligatures w14:val="none"/>
        </w:rPr>
        <w:t>e</w:t>
      </w:r>
      <w:r w:rsidR="00120318" w:rsidRPr="06F10F4C">
        <w:rPr>
          <w:rFonts w:eastAsia="MS Gothic" w:cs="Arial"/>
          <w:b/>
          <w:bCs/>
          <w:color w:val="1F497D"/>
          <w:kern w:val="0"/>
          <w:sz w:val="26"/>
          <w:szCs w:val="26"/>
          <w:lang w:eastAsia="ja-JP"/>
          <w14:ligatures w14:val="none"/>
        </w:rPr>
        <w:t xml:space="preserve"> </w:t>
      </w:r>
    </w:p>
    <w:tbl>
      <w:tblPr>
        <w:tblStyle w:val="ListTable4-Accent51"/>
        <w:tblpPr w:leftFromText="180" w:rightFromText="180" w:vertAnchor="text" w:horzAnchor="margin" w:tblpXSpec="center" w:tblpY="117"/>
        <w:tblW w:w="5500" w:type="pct"/>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4A0" w:firstRow="1" w:lastRow="0" w:firstColumn="1" w:lastColumn="0" w:noHBand="0" w:noVBand="1"/>
      </w:tblPr>
      <w:tblGrid>
        <w:gridCol w:w="2150"/>
        <w:gridCol w:w="5478"/>
        <w:gridCol w:w="6592"/>
      </w:tblGrid>
      <w:tr w:rsidR="007A1E82" w:rsidRPr="00A9365E" w14:paraId="392B684A" w14:textId="77777777" w:rsidTr="0417647D">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657BA7BA" w14:textId="77777777" w:rsidR="007A1E82" w:rsidRPr="00A9365E" w:rsidRDefault="007A1E82" w:rsidP="007A1E82">
            <w:pPr>
              <w:spacing w:before="60" w:after="60"/>
              <w:rPr>
                <w:rFonts w:ascii="Tw Cen MT" w:hAnsi="Tw Cen MT" w:cs="Arial"/>
                <w:color w:val="FFFFFF"/>
                <w:lang w:val="en-US"/>
              </w:rPr>
            </w:pPr>
            <w:r w:rsidRPr="00A9365E">
              <w:rPr>
                <w:rFonts w:ascii="Tw Cen MT" w:hAnsi="Tw Cen MT" w:cs="Arial"/>
                <w:color w:val="FFFFFF"/>
                <w:lang w:val="en-US"/>
              </w:rPr>
              <w:t>Item</w:t>
            </w:r>
          </w:p>
        </w:tc>
        <w:tc>
          <w:tcPr>
            <w:tcW w:w="1926"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53DE6CA7" w14:textId="117A097C" w:rsidR="007A1E82" w:rsidRPr="00A9365E" w:rsidRDefault="36452F1A" w:rsidP="06F10F4C">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6F10F4C">
              <w:rPr>
                <w:rFonts w:ascii="Tw Cen MT" w:hAnsi="Tw Cen MT" w:cs="Arial"/>
                <w:lang w:val="en-US"/>
              </w:rPr>
              <w:t xml:space="preserve">Clauses in the </w:t>
            </w:r>
            <w:r w:rsidR="16A37D2D" w:rsidRPr="06F10F4C">
              <w:rPr>
                <w:rFonts w:ascii="Tw Cen MT" w:hAnsi="Tw Cen MT" w:cs="Arial"/>
                <w:lang w:val="en-US"/>
              </w:rPr>
              <w:t>t</w:t>
            </w:r>
            <w:r w:rsidRPr="06F10F4C">
              <w:rPr>
                <w:rFonts w:ascii="Tw Cen MT" w:hAnsi="Tw Cen MT" w:cs="Arial"/>
                <w:lang w:val="en-US"/>
              </w:rPr>
              <w:t>emplate</w:t>
            </w:r>
          </w:p>
        </w:tc>
        <w:tc>
          <w:tcPr>
            <w:tcW w:w="2318" w:type="pct"/>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16FB1398" w14:textId="22F49BBC" w:rsidR="007A1E82" w:rsidRPr="00A9365E" w:rsidRDefault="36452F1A" w:rsidP="06F10F4C">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6F10F4C">
              <w:rPr>
                <w:rFonts w:ascii="Tw Cen MT" w:hAnsi="Tw Cen MT" w:cs="Arial"/>
                <w:lang w:val="en-US"/>
              </w:rPr>
              <w:t xml:space="preserve">Rationale and </w:t>
            </w:r>
            <w:r w:rsidR="7FC0C91A" w:rsidRPr="06F10F4C">
              <w:rPr>
                <w:rFonts w:ascii="Tw Cen MT" w:hAnsi="Tw Cen MT" w:cs="Arial"/>
                <w:lang w:val="en-US"/>
              </w:rPr>
              <w:t>f</w:t>
            </w:r>
            <w:r w:rsidRPr="06F10F4C">
              <w:rPr>
                <w:rFonts w:ascii="Tw Cen MT" w:hAnsi="Tw Cen MT" w:cs="Arial"/>
                <w:lang w:val="en-US"/>
              </w:rPr>
              <w:t xml:space="preserve">urther </w:t>
            </w:r>
            <w:r w:rsidR="4EAC2806" w:rsidRPr="06F10F4C">
              <w:rPr>
                <w:rFonts w:ascii="Tw Cen MT" w:hAnsi="Tw Cen MT" w:cs="Arial"/>
                <w:lang w:val="en-US"/>
              </w:rPr>
              <w:t>c</w:t>
            </w:r>
            <w:r w:rsidRPr="06F10F4C">
              <w:rPr>
                <w:rFonts w:ascii="Tw Cen MT" w:hAnsi="Tw Cen MT" w:cs="Arial"/>
                <w:lang w:val="en-US"/>
              </w:rPr>
              <w:t>onsiderations</w:t>
            </w:r>
          </w:p>
        </w:tc>
      </w:tr>
      <w:tr w:rsidR="007A1E82" w:rsidRPr="00A9365E" w14:paraId="22671E90"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514CAFF4" w14:textId="1D072E07"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Contract </w:t>
            </w:r>
            <w:r w:rsidR="33D93B5D" w:rsidRPr="06F10F4C">
              <w:rPr>
                <w:rFonts w:ascii="Tw Cen MT" w:hAnsi="Tw Cen MT" w:cs="Arial"/>
                <w:color w:val="000000" w:themeColor="text1"/>
                <w:lang w:val="en-US"/>
              </w:rPr>
              <w:t>p</w:t>
            </w:r>
            <w:r w:rsidRPr="06F10F4C">
              <w:rPr>
                <w:rFonts w:ascii="Tw Cen MT" w:hAnsi="Tw Cen MT" w:cs="Arial"/>
                <w:color w:val="000000" w:themeColor="text1"/>
                <w:lang w:val="en-US"/>
              </w:rPr>
              <w:t>eriod</w:t>
            </w:r>
          </w:p>
        </w:tc>
        <w:tc>
          <w:tcPr>
            <w:tcW w:w="1926" w:type="pct"/>
            <w:tcBorders>
              <w:top w:val="single" w:sz="8" w:space="0" w:color="000000" w:themeColor="text1"/>
              <w:bottom w:val="single" w:sz="8" w:space="0" w:color="000000" w:themeColor="text1"/>
              <w:right w:val="nil"/>
            </w:tcBorders>
            <w:shd w:val="clear" w:color="auto" w:fill="auto"/>
          </w:tcPr>
          <w:p w14:paraId="06071204" w14:textId="312C08AF"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T</w:t>
            </w:r>
            <w:r w:rsidRPr="00A9365E">
              <w:rPr>
                <w:rFonts w:ascii="Tw Cen MT" w:eastAsia="Interstate-Light" w:hAnsi="Tw Cen MT" w:cs="Arial"/>
                <w:color w:val="000000" w:themeColor="text1"/>
                <w:lang w:val="en-US" w:eastAsia="zh-CN"/>
              </w:rPr>
              <w:t>he template contract period is</w:t>
            </w:r>
            <w:r w:rsidR="006D3A24" w:rsidRPr="00A9365E">
              <w:rPr>
                <w:rFonts w:ascii="Tw Cen MT" w:eastAsia="Interstate-Light" w:hAnsi="Tw Cen MT" w:cs="Arial"/>
                <w:color w:val="000000" w:themeColor="text1"/>
                <w:lang w:val="en-US" w:eastAsia="zh-CN"/>
              </w:rPr>
              <w:t xml:space="preserve"> at least</w:t>
            </w:r>
            <w:r w:rsidRPr="00A9365E">
              <w:rPr>
                <w:rFonts w:ascii="Tw Cen MT" w:eastAsia="Interstate-Light" w:hAnsi="Tw Cen MT" w:cs="Arial"/>
                <w:color w:val="000000" w:themeColor="text1"/>
                <w:lang w:val="en-US"/>
              </w:rPr>
              <w:t xml:space="preserve"> </w:t>
            </w:r>
            <w:r w:rsidRPr="00A9365E">
              <w:rPr>
                <w:rFonts w:ascii="Tw Cen MT" w:eastAsia="Interstate-Light" w:hAnsi="Tw Cen MT" w:cs="Arial"/>
                <w:b/>
                <w:bCs/>
                <w:color w:val="000000" w:themeColor="text1"/>
                <w:lang w:val="en-US"/>
              </w:rPr>
              <w:t>10 years</w:t>
            </w:r>
            <w:r w:rsidRPr="00A9365E">
              <w:rPr>
                <w:rFonts w:ascii="Tw Cen MT" w:eastAsia="Interstate-Light" w:hAnsi="Tw Cen MT" w:cs="Arial"/>
                <w:color w:val="000000" w:themeColor="text1"/>
                <w:vertAlign w:val="superscript"/>
                <w:lang w:val="en-US"/>
              </w:rPr>
              <w:footnoteReference w:id="7"/>
            </w:r>
            <w:r w:rsidRPr="00A9365E">
              <w:rPr>
                <w:rFonts w:ascii="Tw Cen MT" w:eastAsia="Interstate-Light" w:hAnsi="Tw Cen MT" w:cs="Arial"/>
                <w:color w:val="000000" w:themeColor="text1"/>
                <w:lang w:val="en-US"/>
              </w:rPr>
              <w:t>.</w:t>
            </w:r>
          </w:p>
          <w:p w14:paraId="584AC5EB" w14:textId="77777777"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There are clear options to terminate the contract prematurely and to renew the contract.</w:t>
            </w:r>
          </w:p>
        </w:tc>
        <w:tc>
          <w:tcPr>
            <w:tcW w:w="2318" w:type="pct"/>
            <w:tcBorders>
              <w:top w:val="single" w:sz="8" w:space="0" w:color="000000" w:themeColor="text1"/>
              <w:bottom w:val="single" w:sz="8" w:space="0" w:color="000000" w:themeColor="text1"/>
              <w:right w:val="nil"/>
            </w:tcBorders>
            <w:shd w:val="clear" w:color="auto" w:fill="E1E7F0"/>
          </w:tcPr>
          <w:p w14:paraId="4797B77D" w14:textId="24E07148" w:rsidR="007A1E82" w:rsidRPr="00A9365E" w:rsidRDefault="36452F1A"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Considering solar PV typically has a </w:t>
            </w:r>
            <w:r w:rsidR="2685B7E7" w:rsidRPr="00A9365E">
              <w:rPr>
                <w:rFonts w:ascii="Tw Cen MT" w:eastAsia="Interstate-Light" w:hAnsi="Tw Cen MT" w:cs="Arial"/>
                <w:color w:val="000000" w:themeColor="text1"/>
                <w:lang w:val="en-US"/>
              </w:rPr>
              <w:t>2</w:t>
            </w:r>
            <w:r w:rsidR="159664CF" w:rsidRPr="00A9365E">
              <w:rPr>
                <w:rFonts w:ascii="Tw Cen MT" w:eastAsia="Interstate-Light" w:hAnsi="Tw Cen MT" w:cs="Arial"/>
                <w:color w:val="000000" w:themeColor="text1"/>
                <w:lang w:val="en-US"/>
              </w:rPr>
              <w:t>5</w:t>
            </w:r>
            <w:r w:rsidRPr="00A9365E">
              <w:rPr>
                <w:rFonts w:ascii="Tw Cen MT" w:eastAsia="Interstate-Light" w:hAnsi="Tw Cen MT" w:cs="Arial"/>
                <w:color w:val="000000" w:themeColor="text1"/>
                <w:lang w:val="en-US"/>
              </w:rPr>
              <w:t>-year</w:t>
            </w:r>
            <w:r w:rsidR="2DB4FD27" w:rsidRPr="00A9365E">
              <w:rPr>
                <w:rFonts w:ascii="Tw Cen MT" w:eastAsia="Interstate-Light" w:hAnsi="Tw Cen MT" w:cs="Arial"/>
                <w:color w:val="000000" w:themeColor="text1"/>
                <w:lang w:val="en-US"/>
              </w:rPr>
              <w:t>+</w:t>
            </w:r>
            <w:r w:rsidRPr="00A9365E">
              <w:rPr>
                <w:rFonts w:ascii="Tw Cen MT" w:eastAsia="Interstate-Light" w:hAnsi="Tw Cen MT" w:cs="Arial"/>
                <w:color w:val="000000" w:themeColor="text1"/>
                <w:lang w:val="en-US"/>
              </w:rPr>
              <w:t xml:space="preserve"> lifespan, a longer contract period allows DER developers to distribute project costs over a longer time frame, </w:t>
            </w:r>
            <w:r w:rsidR="145ABACD" w:rsidRPr="00A9365E">
              <w:rPr>
                <w:rFonts w:ascii="Tw Cen MT" w:eastAsia="Interstate-Light" w:hAnsi="Tw Cen MT" w:cs="Arial"/>
                <w:color w:val="000000" w:themeColor="text1"/>
                <w:lang w:val="en-US"/>
              </w:rPr>
              <w:t>acces</w:t>
            </w:r>
            <w:r w:rsidR="127B2F0C" w:rsidRPr="00A9365E">
              <w:rPr>
                <w:rFonts w:ascii="Tw Cen MT" w:eastAsia="Interstate-Light" w:hAnsi="Tw Cen MT" w:cs="Arial"/>
                <w:color w:val="000000" w:themeColor="text1"/>
                <w:lang w:val="en-US"/>
              </w:rPr>
              <w:t xml:space="preserve">sing </w:t>
            </w:r>
            <w:r w:rsidR="145ABACD" w:rsidRPr="00A9365E">
              <w:rPr>
                <w:rFonts w:ascii="Tw Cen MT" w:eastAsia="Interstate-Light" w:hAnsi="Tw Cen MT" w:cs="Arial"/>
                <w:color w:val="000000" w:themeColor="text1"/>
                <w:lang w:val="en-US"/>
              </w:rPr>
              <w:t xml:space="preserve">financing with </w:t>
            </w:r>
            <w:r w:rsidR="56746CDC" w:rsidRPr="00A9365E">
              <w:rPr>
                <w:rFonts w:ascii="Tw Cen MT" w:eastAsia="Interstate-Light" w:hAnsi="Tw Cen MT" w:cs="Arial"/>
                <w:color w:val="000000" w:themeColor="text1"/>
                <w:lang w:val="en-US"/>
              </w:rPr>
              <w:t>favorable</w:t>
            </w:r>
            <w:r w:rsidR="145ABACD" w:rsidRPr="00A9365E">
              <w:rPr>
                <w:rFonts w:ascii="Tw Cen MT" w:eastAsia="Interstate-Light" w:hAnsi="Tw Cen MT" w:cs="Arial"/>
                <w:color w:val="000000" w:themeColor="text1"/>
                <w:lang w:val="en-US"/>
              </w:rPr>
              <w:t xml:space="preserve"> terms, </w:t>
            </w:r>
            <w:r w:rsidRPr="00A9365E">
              <w:rPr>
                <w:rFonts w:ascii="Tw Cen MT" w:eastAsia="Interstate-Light" w:hAnsi="Tw Cen MT" w:cs="Arial"/>
                <w:color w:val="000000" w:themeColor="text1"/>
                <w:lang w:val="en-US"/>
              </w:rPr>
              <w:t>reducing the customer’s tariff</w:t>
            </w:r>
            <w:r w:rsidR="4F1B180D">
              <w:rPr>
                <w:rFonts w:ascii="Tw Cen MT" w:eastAsia="Interstate-Light" w:hAnsi="Tw Cen MT" w:cs="Arial"/>
                <w:color w:val="000000" w:themeColor="text1"/>
                <w:lang w:val="en-US"/>
              </w:rPr>
              <w:t>,</w:t>
            </w:r>
            <w:r w:rsidRPr="00A9365E">
              <w:rPr>
                <w:rFonts w:ascii="Tw Cen MT" w:eastAsia="Interstate-Light" w:hAnsi="Tw Cen MT" w:cs="Arial"/>
                <w:color w:val="000000" w:themeColor="text1"/>
                <w:lang w:val="en-US"/>
              </w:rPr>
              <w:t xml:space="preserve"> and increasing their net savings.</w:t>
            </w:r>
            <w:r w:rsidR="2B76F914" w:rsidRPr="00A9365E">
              <w:rPr>
                <w:rFonts w:ascii="Tw Cen MT" w:eastAsia="Interstate-Light" w:hAnsi="Tw Cen MT" w:cs="Arial"/>
                <w:color w:val="000000" w:themeColor="text1"/>
                <w:lang w:val="en-US"/>
              </w:rPr>
              <w:t xml:space="preserve"> </w:t>
            </w:r>
            <w:r w:rsidR="1E0601F2">
              <w:rPr>
                <w:rFonts w:ascii="Tw Cen MT" w:eastAsia="Interstate-Light" w:hAnsi="Tw Cen MT" w:cs="Arial"/>
                <w:color w:val="000000" w:themeColor="text1"/>
                <w:lang w:val="en-US"/>
              </w:rPr>
              <w:t xml:space="preserve">Although 10 years is the minimum recommended, </w:t>
            </w:r>
            <w:r w:rsidR="04F3469A">
              <w:rPr>
                <w:rFonts w:ascii="Tw Cen MT" w:eastAsia="Interstate-Light" w:hAnsi="Tw Cen MT" w:cs="Arial"/>
                <w:color w:val="000000" w:themeColor="text1"/>
                <w:lang w:val="en-US"/>
              </w:rPr>
              <w:t>b</w:t>
            </w:r>
            <w:r w:rsidR="3DEA850A" w:rsidRPr="00A9365E">
              <w:rPr>
                <w:rFonts w:ascii="Tw Cen MT" w:eastAsia="Interstate-Light" w:hAnsi="Tw Cen MT" w:cs="Arial"/>
                <w:color w:val="000000" w:themeColor="text1"/>
                <w:lang w:val="en-US"/>
              </w:rPr>
              <w:t xml:space="preserve">oth parties should consider </w:t>
            </w:r>
            <w:r w:rsidR="04F3469A">
              <w:rPr>
                <w:rFonts w:ascii="Tw Cen MT" w:eastAsia="Interstate-Light" w:hAnsi="Tw Cen MT" w:cs="Arial"/>
                <w:color w:val="000000" w:themeColor="text1"/>
                <w:lang w:val="en-US"/>
              </w:rPr>
              <w:t xml:space="preserve">longer contract periods </w:t>
            </w:r>
            <w:r w:rsidR="00574E96">
              <w:rPr>
                <w:rFonts w:ascii="Tw Cen MT" w:eastAsia="Interstate-Light" w:hAnsi="Tw Cen MT" w:cs="Arial"/>
                <w:color w:val="000000" w:themeColor="text1"/>
                <w:lang w:val="en-US"/>
              </w:rPr>
              <w:t xml:space="preserve">(e.g. </w:t>
            </w:r>
            <w:r w:rsidR="3DEA850A" w:rsidRPr="00A9365E">
              <w:rPr>
                <w:rFonts w:ascii="Tw Cen MT" w:eastAsia="Interstate-Light" w:hAnsi="Tw Cen MT" w:cs="Arial"/>
                <w:color w:val="000000" w:themeColor="text1"/>
                <w:lang w:val="en-US"/>
              </w:rPr>
              <w:t>15 years</w:t>
            </w:r>
            <w:r w:rsidR="001073E3">
              <w:rPr>
                <w:rStyle w:val="FootnoteReference"/>
                <w:rFonts w:ascii="Tw Cen MT" w:eastAsia="Interstate-Light" w:hAnsi="Tw Cen MT" w:cs="Arial"/>
                <w:color w:val="000000" w:themeColor="text1"/>
                <w:lang w:val="en-US"/>
              </w:rPr>
              <w:footnoteReference w:id="8"/>
            </w:r>
            <w:r w:rsidR="00574E96">
              <w:rPr>
                <w:rFonts w:ascii="Tw Cen MT" w:eastAsia="Interstate-Light" w:hAnsi="Tw Cen MT" w:cs="Arial"/>
                <w:color w:val="000000" w:themeColor="text1"/>
                <w:lang w:val="en-US"/>
              </w:rPr>
              <w:t>)</w:t>
            </w:r>
            <w:r w:rsidR="4F1B180D">
              <w:rPr>
                <w:rFonts w:ascii="Tw Cen MT" w:eastAsia="Interstate-Light" w:hAnsi="Tw Cen MT" w:cs="Arial"/>
                <w:color w:val="000000" w:themeColor="text1"/>
                <w:lang w:val="en-US"/>
              </w:rPr>
              <w:t>.</w:t>
            </w:r>
            <w:r w:rsidR="0F717833" w:rsidRPr="00A9365E">
              <w:rPr>
                <w:rFonts w:ascii="Tw Cen MT" w:eastAsia="Interstate-Light" w:hAnsi="Tw Cen MT" w:cs="Arial"/>
                <w:color w:val="000000" w:themeColor="text1"/>
                <w:lang w:val="en-US"/>
              </w:rPr>
              <w:t xml:space="preserve"> </w:t>
            </w:r>
          </w:p>
        </w:tc>
      </w:tr>
      <w:tr w:rsidR="007A1E82" w:rsidRPr="00A9365E" w14:paraId="43605833" w14:textId="77777777" w:rsidTr="04176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690C4038" w14:textId="62FA516D"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Electricity </w:t>
            </w:r>
            <w:r w:rsidR="2C1E9C93" w:rsidRPr="06F10F4C">
              <w:rPr>
                <w:rFonts w:ascii="Tw Cen MT" w:hAnsi="Tw Cen MT" w:cs="Arial"/>
                <w:color w:val="000000" w:themeColor="text1"/>
                <w:lang w:val="en-US"/>
              </w:rPr>
              <w:t>s</w:t>
            </w:r>
            <w:r w:rsidRPr="06F10F4C">
              <w:rPr>
                <w:rFonts w:ascii="Tw Cen MT" w:hAnsi="Tw Cen MT" w:cs="Arial"/>
                <w:color w:val="000000" w:themeColor="text1"/>
                <w:lang w:val="en-US"/>
              </w:rPr>
              <w:t xml:space="preserve">upply </w:t>
            </w:r>
            <w:r w:rsidR="37934990" w:rsidRPr="06F10F4C">
              <w:rPr>
                <w:rFonts w:ascii="Tw Cen MT" w:hAnsi="Tw Cen MT" w:cs="Arial"/>
                <w:color w:val="000000" w:themeColor="text1"/>
                <w:lang w:val="en-US"/>
              </w:rPr>
              <w:t>o</w:t>
            </w:r>
            <w:r w:rsidRPr="06F10F4C">
              <w:rPr>
                <w:rFonts w:ascii="Tw Cen MT" w:hAnsi="Tw Cen MT" w:cs="Arial"/>
                <w:color w:val="000000" w:themeColor="text1"/>
                <w:lang w:val="en-US"/>
              </w:rPr>
              <w:t>bligations</w:t>
            </w:r>
          </w:p>
          <w:p w14:paraId="1608903E" w14:textId="407ABEA8"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w:t>
            </w:r>
            <w:r w:rsidR="5A4E3670" w:rsidRPr="06F10F4C">
              <w:rPr>
                <w:rFonts w:ascii="Tw Cen MT" w:hAnsi="Tw Cen MT" w:cs="Arial"/>
                <w:color w:val="000000" w:themeColor="text1"/>
                <w:lang w:val="en-US"/>
              </w:rPr>
              <w:t>s</w:t>
            </w:r>
            <w:r w:rsidRPr="06F10F4C">
              <w:rPr>
                <w:rFonts w:ascii="Tw Cen MT" w:hAnsi="Tw Cen MT" w:cs="Arial"/>
                <w:color w:val="000000" w:themeColor="text1"/>
                <w:lang w:val="en-US"/>
              </w:rPr>
              <w:t xml:space="preserve">upply </w:t>
            </w:r>
            <w:r w:rsidR="3CCCDCCD" w:rsidRPr="06F10F4C">
              <w:rPr>
                <w:rFonts w:ascii="Tw Cen MT" w:hAnsi="Tw Cen MT" w:cs="Arial"/>
                <w:color w:val="000000" w:themeColor="text1"/>
                <w:lang w:val="en-US"/>
              </w:rPr>
              <w:t>h</w:t>
            </w:r>
            <w:r w:rsidRPr="06F10F4C">
              <w:rPr>
                <w:rFonts w:ascii="Tw Cen MT" w:hAnsi="Tw Cen MT" w:cs="Arial"/>
                <w:color w:val="000000" w:themeColor="text1"/>
                <w:lang w:val="en-US"/>
              </w:rPr>
              <w:t>ours)</w:t>
            </w:r>
          </w:p>
        </w:tc>
        <w:tc>
          <w:tcPr>
            <w:tcW w:w="1926" w:type="pct"/>
            <w:tcBorders>
              <w:top w:val="single" w:sz="8" w:space="0" w:color="000000" w:themeColor="text1"/>
              <w:bottom w:val="single" w:sz="8" w:space="0" w:color="000000" w:themeColor="text1"/>
              <w:right w:val="nil"/>
            </w:tcBorders>
            <w:shd w:val="clear" w:color="auto" w:fill="auto"/>
          </w:tcPr>
          <w:p w14:paraId="61926394" w14:textId="7F0D7270" w:rsidR="007A1E82" w:rsidRPr="00A9365E" w:rsidRDefault="007A1E82" w:rsidP="007A1E82">
            <w:pPr>
              <w:numPr>
                <w:ilvl w:val="0"/>
                <w:numId w:val="2"/>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 xml:space="preserve">Obligation to provide power </w:t>
            </w:r>
            <w:r w:rsidRPr="00A9365E">
              <w:rPr>
                <w:rFonts w:ascii="Tw Cen MT" w:eastAsia="Interstate-Light" w:hAnsi="Tw Cen MT" w:cs="Arial"/>
                <w:color w:val="000000" w:themeColor="text1"/>
                <w:lang w:val="en-US" w:eastAsia="zh-CN"/>
              </w:rPr>
              <w:t xml:space="preserve">is </w:t>
            </w:r>
            <w:r w:rsidRPr="00A9365E">
              <w:rPr>
                <w:rFonts w:ascii="Tw Cen MT" w:eastAsia="Interstate-Light" w:hAnsi="Tw Cen MT" w:cs="Arial"/>
                <w:color w:val="000000" w:themeColor="text1"/>
                <w:lang w:val="en-US"/>
              </w:rPr>
              <w:t xml:space="preserve">shared between the DER developer and the </w:t>
            </w:r>
            <w:r w:rsidR="006A2765"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w:t>
            </w:r>
            <w:r w:rsidR="00A046BA" w:rsidRPr="00A9365E">
              <w:rPr>
                <w:rFonts w:ascii="Tw Cen MT" w:eastAsia="Interstate-Light" w:hAnsi="Tw Cen MT" w:cs="Arial"/>
                <w:color w:val="000000" w:themeColor="text1"/>
                <w:lang w:val="en-US"/>
              </w:rPr>
              <w:t xml:space="preserve"> An example is provided below:</w:t>
            </w:r>
          </w:p>
          <w:p w14:paraId="4803026D" w14:textId="77777777" w:rsidR="007A1E82" w:rsidRPr="00A9365E" w:rsidRDefault="007A1E82" w:rsidP="007A1E82">
            <w:pPr>
              <w:numPr>
                <w:ilvl w:val="1"/>
                <w:numId w:val="2"/>
              </w:numPr>
              <w:spacing w:before="60" w:after="60"/>
              <w:ind w:left="600" w:hanging="283"/>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 xml:space="preserve">DER Priority Hours: </w:t>
            </w:r>
            <w:r w:rsidRPr="00A9365E">
              <w:rPr>
                <w:rFonts w:ascii="Tw Cen MT" w:eastAsia="Interstate-Light" w:hAnsi="Tw Cen MT" w:cs="Arial"/>
                <w:b/>
                <w:bCs/>
                <w:color w:val="000000" w:themeColor="text1"/>
                <w:lang w:val="en-US"/>
              </w:rPr>
              <w:t>9:00 AM – 2:59 PM</w:t>
            </w:r>
            <w:r w:rsidRPr="00A9365E">
              <w:rPr>
                <w:rFonts w:ascii="Tw Cen MT" w:eastAsia="Interstate-Light" w:hAnsi="Tw Cen MT" w:cs="Arial"/>
                <w:color w:val="000000" w:themeColor="text1"/>
                <w:lang w:val="en-US"/>
              </w:rPr>
              <w:t>, with 95% availability of supply</w:t>
            </w:r>
          </w:p>
          <w:p w14:paraId="3680EB63" w14:textId="7A5D0757" w:rsidR="007A1E82" w:rsidRPr="00A9365E" w:rsidRDefault="007A1E82" w:rsidP="007A1E82">
            <w:pPr>
              <w:numPr>
                <w:ilvl w:val="1"/>
                <w:numId w:val="2"/>
              </w:numPr>
              <w:spacing w:before="60" w:after="60"/>
              <w:ind w:left="600" w:hanging="283"/>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 xml:space="preserve">Grid Priority Hours: </w:t>
            </w:r>
            <w:r w:rsidRPr="00A9365E">
              <w:rPr>
                <w:rFonts w:ascii="Tw Cen MT" w:eastAsia="Interstate-Light" w:hAnsi="Tw Cen MT" w:cs="Arial"/>
                <w:b/>
                <w:bCs/>
                <w:color w:val="000000" w:themeColor="text1"/>
                <w:lang w:val="en-US"/>
              </w:rPr>
              <w:t>3:00 PM – 8:59 AM</w:t>
            </w:r>
            <w:r w:rsidR="001B4EA3">
              <w:rPr>
                <w:rFonts w:ascii="Tw Cen MT" w:eastAsia="Interstate-Light" w:hAnsi="Tw Cen MT" w:cs="Arial"/>
                <w:b/>
                <w:bCs/>
                <w:color w:val="000000" w:themeColor="text1"/>
                <w:lang w:val="en-US"/>
              </w:rPr>
              <w:t>,</w:t>
            </w:r>
            <w:r w:rsidRPr="00A9365E">
              <w:rPr>
                <w:rFonts w:ascii="Tw Cen MT" w:eastAsia="Interstate-Light" w:hAnsi="Tw Cen MT" w:cs="Arial"/>
                <w:color w:val="000000" w:themeColor="text1"/>
                <w:lang w:val="en-US"/>
              </w:rPr>
              <w:t xml:space="preserve"> availability of supply will be confirmed by </w:t>
            </w:r>
            <w:r w:rsidR="006A2765"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w:t>
            </w:r>
          </w:p>
          <w:p w14:paraId="0AD2FC00" w14:textId="548F8243" w:rsidR="007A1E82" w:rsidRPr="00A9365E" w:rsidRDefault="007A1E82" w:rsidP="007A1E82">
            <w:pPr>
              <w:pStyle w:val="ListParagraph"/>
              <w:widowControl w:val="0"/>
              <w:numPr>
                <w:ilvl w:val="0"/>
                <w:numId w:val="3"/>
              </w:numPr>
              <w:autoSpaceDE w:val="0"/>
              <w:autoSpaceDN w:val="0"/>
              <w:spacing w:before="20" w:line="23" w:lineRule="atLeast"/>
              <w:contextualSpacing w:val="0"/>
              <w:cnfStyle w:val="000000010000" w:firstRow="0" w:lastRow="0" w:firstColumn="0" w:lastColumn="0" w:oddVBand="0" w:evenVBand="0" w:oddHBand="0" w:evenHBand="1" w:firstRowFirstColumn="0" w:firstRowLastColumn="0" w:lastRowFirstColumn="0" w:lastRowLastColumn="0"/>
              <w:rPr>
                <w:rFonts w:eastAsia="Interstate-Light" w:cs="Arial"/>
                <w:color w:val="000000" w:themeColor="text1"/>
                <w:lang w:val="en-US" w:eastAsia="en-GB"/>
              </w:rPr>
            </w:pPr>
            <w:r w:rsidRPr="00A9365E">
              <w:rPr>
                <w:rFonts w:eastAsia="Interstate-Light" w:cs="Arial"/>
                <w:color w:val="000000" w:themeColor="text1"/>
                <w:lang w:val="en-US" w:eastAsia="en-GB"/>
              </w:rPr>
              <w:t xml:space="preserve">The DER developer is responsible for backing up the </w:t>
            </w:r>
            <w:r w:rsidR="006A2765" w:rsidRPr="00A9365E">
              <w:rPr>
                <w:rFonts w:eastAsia="Interstate-Light" w:cs="Arial"/>
                <w:color w:val="000000" w:themeColor="text1"/>
                <w:lang w:val="en-US" w:eastAsia="en-GB"/>
              </w:rPr>
              <w:t>utility</w:t>
            </w:r>
            <w:r w:rsidRPr="00A9365E">
              <w:rPr>
                <w:rFonts w:eastAsia="Interstate-Light" w:cs="Arial"/>
                <w:color w:val="000000" w:themeColor="text1"/>
                <w:lang w:val="en-US" w:eastAsia="en-GB"/>
              </w:rPr>
              <w:t>’s power supply to ensure the customer has reliable power as much as possible (namely ensuring that the customer ends up with very high reliability monthly on average, such as 95% reliability).</w:t>
            </w:r>
          </w:p>
          <w:p w14:paraId="5B1A46F8" w14:textId="1073CAC6" w:rsidR="007A1E82" w:rsidRPr="00A9365E" w:rsidRDefault="007A1E82" w:rsidP="007A1E82">
            <w:pPr>
              <w:numPr>
                <w:ilvl w:val="0"/>
                <w:numId w:val="2"/>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w:t>
            </w:r>
            <w:r w:rsidR="006A2765"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is responsible for making necessary upgrades to the distribution network (which the DER developer </w:t>
            </w:r>
            <w:r w:rsidR="003E11CF" w:rsidRPr="00A9365E">
              <w:rPr>
                <w:rFonts w:ascii="Tw Cen MT" w:eastAsia="Interstate-Light" w:hAnsi="Tw Cen MT" w:cs="Arial"/>
                <w:color w:val="000000" w:themeColor="text1"/>
                <w:lang w:val="en-US"/>
              </w:rPr>
              <w:t xml:space="preserve">could </w:t>
            </w:r>
            <w:r w:rsidR="003E11CF" w:rsidRPr="00A9365E">
              <w:rPr>
                <w:rFonts w:ascii="Tw Cen MT" w:eastAsia="Interstate-Light" w:hAnsi="Tw Cen MT" w:cs="Arial"/>
                <w:color w:val="000000" w:themeColor="text1"/>
              </w:rPr>
              <w:t>help</w:t>
            </w:r>
            <w:r w:rsidRPr="00A9365E">
              <w:rPr>
                <w:rFonts w:ascii="Tw Cen MT" w:eastAsia="Interstate-Light" w:hAnsi="Tw Cen MT" w:cs="Arial"/>
                <w:color w:val="000000" w:themeColor="text1"/>
                <w:lang w:val="en-US"/>
              </w:rPr>
              <w:t xml:space="preserve"> finance) to ensure it can achieve the agreed reliability standards.</w:t>
            </w:r>
          </w:p>
        </w:tc>
        <w:tc>
          <w:tcPr>
            <w:tcW w:w="2318" w:type="pct"/>
            <w:tcBorders>
              <w:top w:val="single" w:sz="8" w:space="0" w:color="000000" w:themeColor="text1"/>
              <w:bottom w:val="single" w:sz="8" w:space="0" w:color="000000" w:themeColor="text1"/>
              <w:right w:val="nil"/>
            </w:tcBorders>
            <w:shd w:val="clear" w:color="auto" w:fill="E1E7F0"/>
          </w:tcPr>
          <w:p w14:paraId="1A217010" w14:textId="71115B84" w:rsidR="007A1E82" w:rsidRPr="00A9365E" w:rsidRDefault="007A1E82" w:rsidP="007A1E82">
            <w:pPr>
              <w:spacing w:before="60" w:after="60"/>
              <w:ind w:left="27"/>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Dividing supply obligations by hour of day ensures that the DER system does not need to be oversized to meet the customer’s electricity needs during evening and night-time hours, while sufficiently utilizing low-cost solar generation during the day. It effectively reduces the cost of electricity supply to customers compared to the </w:t>
            </w:r>
            <w:r w:rsidR="003B4257" w:rsidRPr="00A9365E">
              <w:rPr>
                <w:rFonts w:ascii="Tw Cen MT" w:eastAsia="Interstate-Light" w:hAnsi="Tw Cen MT" w:cs="Arial"/>
                <w:color w:val="000000" w:themeColor="text1"/>
                <w:lang w:val="en-US"/>
              </w:rPr>
              <w:t>fossil-fuel</w:t>
            </w:r>
            <w:r w:rsidRPr="00A9365E">
              <w:rPr>
                <w:rFonts w:ascii="Tw Cen MT" w:eastAsia="Interstate-Light" w:hAnsi="Tw Cen MT" w:cs="Arial"/>
                <w:color w:val="000000" w:themeColor="text1"/>
                <w:lang w:val="en-US"/>
              </w:rPr>
              <w:t xml:space="preserve"> alternative, and thus makes DER solutions more price competitive for customers who can be provided a relatively high number of hours of supply of electricity from the grid.</w:t>
            </w:r>
          </w:p>
          <w:p w14:paraId="0FD4D2BC" w14:textId="77777777" w:rsidR="007A1E82" w:rsidRPr="00A9365E"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72A51D42" w14:textId="2DDD030A" w:rsidR="007A1E82" w:rsidRPr="00A9365E" w:rsidRDefault="36452F1A" w:rsidP="06F10F4C">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6F10F4C">
              <w:rPr>
                <w:rFonts w:ascii="Tw Cen MT" w:eastAsia="Interstate-Light" w:hAnsi="Tw Cen MT" w:cs="Arial"/>
                <w:color w:val="000000" w:themeColor="text1"/>
                <w:lang w:val="en-US"/>
              </w:rPr>
              <w:t>The DER</w:t>
            </w:r>
            <w:r w:rsidR="174CA36A" w:rsidRPr="06F10F4C">
              <w:rPr>
                <w:rFonts w:ascii="Tw Cen MT" w:eastAsia="Interstate-Light" w:hAnsi="Tw Cen MT" w:cs="Arial"/>
                <w:color w:val="000000" w:themeColor="text1"/>
                <w:lang w:val="en-US"/>
              </w:rPr>
              <w:t xml:space="preserve"> developer</w:t>
            </w:r>
            <w:r w:rsidRPr="06F10F4C">
              <w:rPr>
                <w:rFonts w:ascii="Tw Cen MT" w:eastAsia="Interstate-Light" w:hAnsi="Tw Cen MT" w:cs="Arial"/>
                <w:color w:val="000000" w:themeColor="text1"/>
                <w:lang w:val="en-US"/>
              </w:rPr>
              <w:t xml:space="preserve"> and</w:t>
            </w:r>
            <w:r w:rsidR="174CA36A" w:rsidRPr="06F10F4C">
              <w:rPr>
                <w:rFonts w:ascii="Tw Cen MT" w:eastAsia="Interstate-Light" w:hAnsi="Tw Cen MT" w:cs="Arial"/>
                <w:color w:val="000000" w:themeColor="text1"/>
                <w:lang w:val="en-US"/>
              </w:rPr>
              <w:t xml:space="preserve"> utility can align on suitable</w:t>
            </w:r>
            <w:r w:rsidRPr="06F10F4C">
              <w:rPr>
                <w:rFonts w:ascii="Tw Cen MT" w:eastAsia="Interstate-Light" w:hAnsi="Tw Cen MT" w:cs="Arial"/>
                <w:color w:val="000000" w:themeColor="text1"/>
                <w:lang w:val="en-US"/>
              </w:rPr>
              <w:t xml:space="preserve"> Grid Priority per transaction</w:t>
            </w:r>
            <w:r w:rsidR="505EAB77" w:rsidRPr="06F10F4C">
              <w:rPr>
                <w:rFonts w:ascii="Tw Cen MT" w:eastAsia="Interstate-Light" w:hAnsi="Tw Cen MT" w:cs="Arial"/>
                <w:color w:val="000000" w:themeColor="text1"/>
                <w:lang w:val="en-US"/>
              </w:rPr>
              <w:t>.</w:t>
            </w:r>
            <w:r w:rsidR="5107E941" w:rsidRPr="06F10F4C">
              <w:rPr>
                <w:rFonts w:ascii="Tw Cen MT" w:eastAsia="Interstate-Light" w:hAnsi="Tw Cen MT" w:cs="Arial"/>
                <w:color w:val="000000" w:themeColor="text1"/>
                <w:lang w:val="en-US"/>
              </w:rPr>
              <w:t xml:space="preserve"> This</w:t>
            </w:r>
            <w:r w:rsidR="0048698D">
              <w:rPr>
                <w:rFonts w:ascii="Tw Cen MT" w:eastAsia="Interstate-Light" w:hAnsi="Tw Cen MT" w:cs="Arial"/>
                <w:color w:val="000000" w:themeColor="text1"/>
                <w:lang w:val="en-US"/>
              </w:rPr>
              <w:t xml:space="preserve"> </w:t>
            </w:r>
            <w:r w:rsidR="505EAB77" w:rsidRPr="06F10F4C">
              <w:rPr>
                <w:rFonts w:ascii="Tw Cen MT" w:eastAsia="Interstate-Light" w:hAnsi="Tw Cen MT" w:cs="Arial"/>
                <w:color w:val="000000" w:themeColor="text1"/>
                <w:lang w:val="en-US"/>
              </w:rPr>
              <w:t xml:space="preserve">will </w:t>
            </w:r>
            <w:r w:rsidRPr="06F10F4C">
              <w:rPr>
                <w:rFonts w:ascii="Tw Cen MT" w:eastAsia="Interstate-Light" w:hAnsi="Tw Cen MT" w:cs="Arial"/>
                <w:color w:val="000000" w:themeColor="text1"/>
                <w:lang w:val="en-US"/>
              </w:rPr>
              <w:t>depend on grid availability</w:t>
            </w:r>
            <w:r w:rsidR="145F10FD" w:rsidRPr="06F10F4C">
              <w:rPr>
                <w:rFonts w:ascii="Tw Cen MT" w:eastAsia="Interstate-Light" w:hAnsi="Tw Cen MT" w:cs="Arial"/>
                <w:color w:val="000000" w:themeColor="text1"/>
                <w:lang w:val="en-US"/>
              </w:rPr>
              <w:t>, planned upgrade to the distribution network</w:t>
            </w:r>
            <w:r w:rsidR="0612EBEB" w:rsidRPr="06F10F4C">
              <w:rPr>
                <w:rFonts w:ascii="Tw Cen MT" w:eastAsia="Interstate-Light" w:hAnsi="Tw Cen MT" w:cs="Arial"/>
                <w:color w:val="000000" w:themeColor="text1"/>
                <w:lang w:val="en-US"/>
              </w:rPr>
              <w:t>,</w:t>
            </w:r>
            <w:r w:rsidR="4F1B180D" w:rsidRPr="06F10F4C">
              <w:rPr>
                <w:rFonts w:ascii="Tw Cen MT" w:eastAsia="Interstate-Light" w:hAnsi="Tw Cen MT" w:cs="Arial"/>
                <w:color w:val="000000" w:themeColor="text1"/>
                <w:lang w:val="en-US"/>
              </w:rPr>
              <w:t xml:space="preserve"> </w:t>
            </w:r>
            <w:r w:rsidRPr="06F10F4C">
              <w:rPr>
                <w:rFonts w:ascii="Tw Cen MT" w:eastAsia="Interstate-Light" w:hAnsi="Tw Cen MT" w:cs="Arial"/>
                <w:color w:val="000000" w:themeColor="text1"/>
                <w:lang w:val="en-US"/>
              </w:rPr>
              <w:t xml:space="preserve">and </w:t>
            </w:r>
            <w:r w:rsidR="22081D63" w:rsidRPr="06F10F4C">
              <w:rPr>
                <w:rFonts w:ascii="Tw Cen MT" w:eastAsia="Interstate-Light" w:hAnsi="Tw Cen MT" w:cs="Arial"/>
                <w:color w:val="000000" w:themeColor="text1"/>
                <w:lang w:val="en-US"/>
              </w:rPr>
              <w:t xml:space="preserve">the </w:t>
            </w:r>
            <w:r w:rsidRPr="06F10F4C">
              <w:rPr>
                <w:rFonts w:ascii="Tw Cen MT" w:eastAsia="Interstate-Light" w:hAnsi="Tw Cen MT" w:cs="Arial"/>
                <w:color w:val="000000" w:themeColor="text1"/>
                <w:lang w:val="en-US"/>
              </w:rPr>
              <w:t xml:space="preserve">commitment that the </w:t>
            </w:r>
            <w:r w:rsidR="1C650528" w:rsidRPr="06F10F4C">
              <w:rPr>
                <w:rFonts w:ascii="Tw Cen MT" w:eastAsia="Interstate-Light" w:hAnsi="Tw Cen MT" w:cs="Arial"/>
                <w:color w:val="000000" w:themeColor="text1"/>
                <w:lang w:val="en-US"/>
              </w:rPr>
              <w:t>utility</w:t>
            </w:r>
            <w:r w:rsidRPr="06F10F4C">
              <w:rPr>
                <w:rFonts w:ascii="Tw Cen MT" w:eastAsia="Interstate-Light" w:hAnsi="Tw Cen MT" w:cs="Arial"/>
                <w:color w:val="000000" w:themeColor="text1"/>
                <w:lang w:val="en-US"/>
              </w:rPr>
              <w:t xml:space="preserve"> can make. </w:t>
            </w:r>
            <w:r w:rsidR="294C057B" w:rsidRPr="06F10F4C">
              <w:rPr>
                <w:rFonts w:ascii="Tw Cen MT" w:eastAsia="Interstate-Light" w:hAnsi="Tw Cen MT" w:cs="Arial"/>
                <w:color w:val="000000" w:themeColor="text1"/>
                <w:lang w:val="en-US"/>
              </w:rPr>
              <w:t>A</w:t>
            </w:r>
            <w:r w:rsidR="179DA857" w:rsidRPr="06F10F4C">
              <w:rPr>
                <w:rFonts w:ascii="Tw Cen MT" w:eastAsia="Interstate-Light" w:hAnsi="Tw Cen MT" w:cs="Arial"/>
                <w:color w:val="000000" w:themeColor="text1"/>
                <w:lang w:val="en-US"/>
              </w:rPr>
              <w:t xml:space="preserve"> standard </w:t>
            </w:r>
            <w:r w:rsidR="294C057B" w:rsidRPr="06F10F4C">
              <w:rPr>
                <w:rFonts w:ascii="Tw Cen MT" w:eastAsia="Interstate-Light" w:hAnsi="Tw Cen MT" w:cs="Arial"/>
                <w:color w:val="000000" w:themeColor="text1"/>
                <w:lang w:val="en-US"/>
              </w:rPr>
              <w:t>scenario is provided as the grid priority hours obligation 3</w:t>
            </w:r>
            <w:r w:rsidR="2851DA51" w:rsidRPr="06F10F4C">
              <w:rPr>
                <w:rFonts w:ascii="Tw Cen MT" w:eastAsia="Interstate-Light" w:hAnsi="Tw Cen MT" w:cs="Arial"/>
                <w:color w:val="000000" w:themeColor="text1"/>
                <w:lang w:val="en-US"/>
              </w:rPr>
              <w:t>:</w:t>
            </w:r>
            <w:r w:rsidR="294C057B" w:rsidRPr="06F10F4C">
              <w:rPr>
                <w:rFonts w:ascii="Tw Cen MT" w:eastAsia="Interstate-Light" w:hAnsi="Tw Cen MT" w:cs="Arial"/>
                <w:color w:val="000000" w:themeColor="text1"/>
                <w:lang w:val="en-US"/>
              </w:rPr>
              <w:t>00</w:t>
            </w:r>
            <w:r w:rsidR="71B3D444" w:rsidRPr="06F10F4C">
              <w:rPr>
                <w:rFonts w:ascii="Tw Cen MT" w:eastAsia="Interstate-Light" w:hAnsi="Tw Cen MT" w:cs="Arial"/>
                <w:color w:val="000000" w:themeColor="text1"/>
                <w:lang w:val="en-US"/>
              </w:rPr>
              <w:t>pm</w:t>
            </w:r>
            <w:r w:rsidR="13250D00" w:rsidRPr="06F10F4C">
              <w:rPr>
                <w:rFonts w:ascii="Tw Cen MT" w:eastAsia="Interstate-Light" w:hAnsi="Tw Cen MT" w:cs="Arial"/>
                <w:color w:val="000000" w:themeColor="text1"/>
                <w:lang w:val="en-US"/>
              </w:rPr>
              <w:t xml:space="preserve"> – </w:t>
            </w:r>
            <w:r w:rsidR="294C057B" w:rsidRPr="06F10F4C">
              <w:rPr>
                <w:rFonts w:ascii="Tw Cen MT" w:eastAsia="Interstate-Light" w:hAnsi="Tw Cen MT" w:cs="Arial"/>
                <w:color w:val="000000" w:themeColor="text1"/>
                <w:lang w:val="en-US"/>
              </w:rPr>
              <w:t>8</w:t>
            </w:r>
            <w:r w:rsidR="13250D00" w:rsidRPr="06F10F4C">
              <w:rPr>
                <w:rFonts w:ascii="Tw Cen MT" w:eastAsia="Interstate-Light" w:hAnsi="Tw Cen MT" w:cs="Arial"/>
                <w:color w:val="000000" w:themeColor="text1"/>
                <w:lang w:val="en-US"/>
              </w:rPr>
              <w:t>:59</w:t>
            </w:r>
            <w:proofErr w:type="gramStart"/>
            <w:r w:rsidR="13250D00" w:rsidRPr="06F10F4C">
              <w:rPr>
                <w:rFonts w:ascii="Tw Cen MT" w:eastAsia="Interstate-Light" w:hAnsi="Tw Cen MT" w:cs="Arial"/>
                <w:color w:val="000000" w:themeColor="text1"/>
                <w:lang w:val="en-US"/>
              </w:rPr>
              <w:t>am</w:t>
            </w:r>
            <w:r w:rsidR="294C057B" w:rsidRPr="06F10F4C">
              <w:rPr>
                <w:rFonts w:ascii="Tw Cen MT" w:eastAsia="Interstate-Light" w:hAnsi="Tw Cen MT" w:cs="Arial"/>
                <w:color w:val="000000" w:themeColor="text1"/>
                <w:lang w:val="en-US"/>
              </w:rPr>
              <w:t xml:space="preserve"> </w:t>
            </w:r>
            <w:r w:rsidR="4C2B965D" w:rsidRPr="06F10F4C">
              <w:rPr>
                <w:rFonts w:ascii="Tw Cen MT" w:eastAsia="Interstate-Light" w:hAnsi="Tw Cen MT" w:cs="Arial"/>
                <w:color w:val="000000" w:themeColor="text1"/>
                <w:lang w:val="en-US"/>
              </w:rPr>
              <w:t>.</w:t>
            </w:r>
            <w:proofErr w:type="gramEnd"/>
            <w:r w:rsidR="4C2B965D" w:rsidRPr="06F10F4C">
              <w:rPr>
                <w:rFonts w:ascii="Tw Cen MT" w:eastAsia="Interstate-Light" w:hAnsi="Tw Cen MT" w:cs="Arial"/>
                <w:color w:val="000000" w:themeColor="text1"/>
                <w:lang w:val="en-US"/>
              </w:rPr>
              <w:t xml:space="preserve"> Alignment</w:t>
            </w:r>
            <w:r w:rsidR="11BB4415" w:rsidRPr="06F10F4C">
              <w:rPr>
                <w:rFonts w:ascii="Tw Cen MT" w:eastAsia="Interstate-Light" w:hAnsi="Tw Cen MT" w:cs="Arial"/>
                <w:color w:val="000000" w:themeColor="text1"/>
                <w:lang w:val="en-US"/>
              </w:rPr>
              <w:t xml:space="preserve"> with the utility can lead to a lower commitment but not greater than</w:t>
            </w:r>
            <w:r w:rsidR="113711F3" w:rsidRPr="06F10F4C">
              <w:rPr>
                <w:rFonts w:ascii="Tw Cen MT" w:eastAsia="Interstate-Light" w:hAnsi="Tw Cen MT" w:cs="Arial"/>
                <w:color w:val="000000" w:themeColor="text1"/>
                <w:lang w:val="en-US"/>
              </w:rPr>
              <w:t xml:space="preserve"> the standard scenario. It is essential </w:t>
            </w:r>
            <w:proofErr w:type="gramStart"/>
            <w:r w:rsidR="113711F3" w:rsidRPr="06F10F4C">
              <w:rPr>
                <w:rFonts w:ascii="Tw Cen MT" w:eastAsia="Interstate-Light" w:hAnsi="Tw Cen MT" w:cs="Arial"/>
                <w:color w:val="000000" w:themeColor="text1"/>
                <w:lang w:val="en-US"/>
              </w:rPr>
              <w:t>to  that</w:t>
            </w:r>
            <w:proofErr w:type="gramEnd"/>
            <w:r w:rsidR="113711F3" w:rsidRPr="06F10F4C">
              <w:rPr>
                <w:rFonts w:ascii="Tw Cen MT" w:eastAsia="Interstate-Light" w:hAnsi="Tw Cen MT" w:cs="Arial"/>
                <w:color w:val="000000" w:themeColor="text1"/>
                <w:lang w:val="en-US"/>
              </w:rPr>
              <w:t xml:space="preserve"> the utility expected revenue is greater than BAU</w:t>
            </w:r>
            <w:r w:rsidR="007A1E82" w:rsidRPr="06F10F4C">
              <w:rPr>
                <w:rStyle w:val="FootnoteReference"/>
                <w:rFonts w:ascii="Tw Cen MT" w:eastAsia="Interstate-Light" w:hAnsi="Tw Cen MT" w:cs="Arial"/>
                <w:color w:val="000000" w:themeColor="text1"/>
                <w:lang w:val="en-US"/>
              </w:rPr>
              <w:footnoteReference w:id="9"/>
            </w:r>
            <w:r w:rsidR="63D631E5" w:rsidRPr="06F10F4C">
              <w:rPr>
                <w:rFonts w:ascii="Tw Cen MT" w:eastAsia="Interstate-Light" w:hAnsi="Tw Cen MT" w:cs="Arial"/>
                <w:color w:val="000000" w:themeColor="text1"/>
                <w:lang w:val="en-US"/>
              </w:rPr>
              <w:t xml:space="preserve"> as this </w:t>
            </w:r>
            <w:r w:rsidR="5548625E" w:rsidRPr="06F10F4C">
              <w:rPr>
                <w:rFonts w:ascii="Tw Cen MT" w:eastAsia="Interstate-Light" w:hAnsi="Tw Cen MT" w:cs="Arial"/>
                <w:color w:val="000000" w:themeColor="text1"/>
                <w:lang w:val="en-US"/>
              </w:rPr>
              <w:t>should</w:t>
            </w:r>
            <w:r w:rsidR="63D631E5" w:rsidRPr="06F10F4C">
              <w:rPr>
                <w:rFonts w:ascii="Tw Cen MT" w:eastAsia="Interstate-Light" w:hAnsi="Tw Cen MT" w:cs="Arial"/>
                <w:color w:val="000000" w:themeColor="text1"/>
                <w:lang w:val="en-US"/>
              </w:rPr>
              <w:t xml:space="preserve"> guide align</w:t>
            </w:r>
            <w:r w:rsidR="1D0A1391" w:rsidRPr="06F10F4C">
              <w:rPr>
                <w:rFonts w:ascii="Tw Cen MT" w:eastAsia="Interstate-Light" w:hAnsi="Tw Cen MT" w:cs="Arial"/>
                <w:color w:val="000000" w:themeColor="text1"/>
                <w:lang w:val="en-US"/>
              </w:rPr>
              <w:t xml:space="preserve">ment </w:t>
            </w:r>
            <w:proofErr w:type="spellStart"/>
            <w:r w:rsidR="0048698D" w:rsidRPr="06F10F4C">
              <w:rPr>
                <w:rFonts w:ascii="Tw Cen MT" w:eastAsia="Interstate-Light" w:hAnsi="Tw Cen MT" w:cs="Arial"/>
                <w:color w:val="000000" w:themeColor="text1"/>
                <w:lang w:val="en-US"/>
              </w:rPr>
              <w:t>discussio</w:t>
            </w:r>
            <w:proofErr w:type="spellEnd"/>
            <w:r w:rsidR="0048698D" w:rsidRPr="06F10F4C">
              <w:rPr>
                <w:rFonts w:ascii="Tw Cen MT" w:eastAsia="Interstate-Light" w:hAnsi="Tw Cen MT" w:cs="Arial"/>
                <w:color w:val="000000" w:themeColor="text1"/>
              </w:rPr>
              <w:t>n</w:t>
            </w:r>
            <w:r w:rsidR="1D0A1391" w:rsidRPr="06F10F4C">
              <w:rPr>
                <w:rFonts w:ascii="Tw Cen MT" w:eastAsia="Interstate-Light" w:hAnsi="Tw Cen MT" w:cs="Arial"/>
                <w:color w:val="000000" w:themeColor="text1"/>
                <w:lang w:val="en-US"/>
              </w:rPr>
              <w:t xml:space="preserve"> between partners</w:t>
            </w:r>
            <w:r w:rsidR="63D631E5" w:rsidRPr="06F10F4C">
              <w:rPr>
                <w:rFonts w:ascii="Tw Cen MT" w:eastAsia="Interstate-Light" w:hAnsi="Tw Cen MT" w:cs="Arial"/>
                <w:color w:val="000000" w:themeColor="text1"/>
                <w:lang w:val="en-US"/>
              </w:rPr>
              <w:t xml:space="preserve">  which </w:t>
            </w:r>
            <w:r w:rsidR="2ABCA611" w:rsidRPr="06F10F4C">
              <w:rPr>
                <w:rFonts w:ascii="Tw Cen MT" w:eastAsia="Interstate-Light" w:hAnsi="Tw Cen MT" w:cs="Arial"/>
                <w:color w:val="000000" w:themeColor="text1"/>
                <w:lang w:val="en-US"/>
              </w:rPr>
              <w:t>should be</w:t>
            </w:r>
            <w:r w:rsidR="63D631E5" w:rsidRPr="06F10F4C">
              <w:rPr>
                <w:rFonts w:ascii="Tw Cen MT" w:eastAsia="Interstate-Light" w:hAnsi="Tw Cen MT" w:cs="Arial"/>
                <w:color w:val="000000" w:themeColor="text1"/>
                <w:lang w:val="en-US"/>
              </w:rPr>
              <w:t xml:space="preserve"> linked to the customers' operations.</w:t>
            </w:r>
          </w:p>
        </w:tc>
      </w:tr>
      <w:tr w:rsidR="007A1E82" w:rsidRPr="00A9365E" w14:paraId="564093E2"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622473AB" w14:textId="12CA67A2"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Minimum </w:t>
            </w:r>
            <w:r w:rsidR="7F100EE6" w:rsidRPr="06F10F4C">
              <w:rPr>
                <w:rFonts w:ascii="Tw Cen MT" w:hAnsi="Tw Cen MT" w:cs="Arial"/>
                <w:color w:val="000000" w:themeColor="text1"/>
                <w:lang w:val="en-US"/>
              </w:rPr>
              <w:t>c</w:t>
            </w:r>
            <w:r w:rsidRPr="06F10F4C">
              <w:rPr>
                <w:rFonts w:ascii="Tw Cen MT" w:hAnsi="Tw Cen MT" w:cs="Arial"/>
                <w:color w:val="000000" w:themeColor="text1"/>
                <w:lang w:val="en-US"/>
              </w:rPr>
              <w:t>onsumption</w:t>
            </w:r>
          </w:p>
          <w:p w14:paraId="2B764A7A" w14:textId="77777777" w:rsidR="007A1E82" w:rsidRPr="00A9365E" w:rsidRDefault="007A1E82" w:rsidP="007A1E82">
            <w:pPr>
              <w:spacing w:before="60" w:after="60"/>
              <w:rPr>
                <w:rFonts w:ascii="Tw Cen MT" w:hAnsi="Tw Cen MT" w:cs="Arial"/>
                <w:color w:val="000000" w:themeColor="text1"/>
                <w:lang w:val="en-US"/>
              </w:rPr>
            </w:pPr>
          </w:p>
        </w:tc>
        <w:tc>
          <w:tcPr>
            <w:tcW w:w="1926" w:type="pct"/>
            <w:tcBorders>
              <w:top w:val="single" w:sz="8" w:space="0" w:color="000000" w:themeColor="text1"/>
              <w:bottom w:val="single" w:sz="8" w:space="0" w:color="000000" w:themeColor="text1"/>
              <w:right w:val="nil"/>
            </w:tcBorders>
            <w:shd w:val="clear" w:color="auto" w:fill="auto"/>
          </w:tcPr>
          <w:p w14:paraId="7413FE9D" w14:textId="5EE8C3F0"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lastRenderedPageBreak/>
              <w:t xml:space="preserve">The contract provides for the DER developer and the C&amp;I customer to agree upon a reasonable Minimum </w:t>
            </w:r>
            <w:r w:rsidRPr="00A9365E">
              <w:rPr>
                <w:rFonts w:ascii="Tw Cen MT" w:eastAsia="Interstate-Light" w:hAnsi="Tw Cen MT" w:cs="Arial"/>
                <w:color w:val="000000" w:themeColor="text1"/>
                <w:lang w:val="en-US"/>
              </w:rPr>
              <w:lastRenderedPageBreak/>
              <w:t xml:space="preserve">Consumption, which is the minimum amount of total kWh the C&amp;I customer will consume or pay for every </w:t>
            </w:r>
            <w:r w:rsidR="005D5D92" w:rsidRPr="00A9365E">
              <w:rPr>
                <w:rFonts w:ascii="Tw Cen MT" w:eastAsia="Interstate-Light" w:hAnsi="Tw Cen MT" w:cs="Arial"/>
                <w:color w:val="000000" w:themeColor="text1"/>
                <w:lang w:val="en-US"/>
              </w:rPr>
              <w:t>quarte</w:t>
            </w:r>
            <w:r w:rsidR="005D5D92" w:rsidRPr="00A9365E">
              <w:rPr>
                <w:rFonts w:ascii="Tw Cen MT" w:eastAsia="Interstate-Light" w:hAnsi="Tw Cen MT" w:cs="Arial"/>
                <w:color w:val="000000" w:themeColor="text1"/>
              </w:rPr>
              <w:t>r</w:t>
            </w:r>
            <w:r w:rsidRPr="00A9365E">
              <w:rPr>
                <w:rFonts w:ascii="Tw Cen MT" w:eastAsia="Interstate-Light" w:hAnsi="Tw Cen MT" w:cs="Arial"/>
                <w:color w:val="000000" w:themeColor="text1"/>
                <w:lang w:val="en-US"/>
              </w:rPr>
              <w:t xml:space="preserve">. </w:t>
            </w:r>
          </w:p>
          <w:p w14:paraId="04F54147" w14:textId="77777777"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Minimum Consumption levels proposed should be quantities of electricity that the C&amp;I customer feels confident it will consume based on historical load data.</w:t>
            </w:r>
          </w:p>
          <w:p w14:paraId="3E1BB423" w14:textId="28FFEC45" w:rsidR="007A1E82" w:rsidRPr="00A9365E" w:rsidRDefault="000B48FC"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w:t>
            </w:r>
            <w:r w:rsidR="00322534" w:rsidRPr="00A9365E">
              <w:rPr>
                <w:rFonts w:ascii="Tw Cen MT" w:eastAsia="Interstate-Light" w:hAnsi="Tw Cen MT" w:cs="Arial"/>
                <w:color w:val="000000" w:themeColor="text1"/>
                <w:lang w:val="en-US"/>
              </w:rPr>
              <w:t xml:space="preserve">facility size will </w:t>
            </w:r>
            <w:r w:rsidR="0020580C">
              <w:rPr>
                <w:rFonts w:ascii="Tw Cen MT" w:eastAsia="Interstate-Light" w:hAnsi="Tw Cen MT" w:cs="Arial"/>
                <w:color w:val="000000" w:themeColor="text1"/>
                <w:lang w:val="en-US"/>
              </w:rPr>
              <w:t>be determined</w:t>
            </w:r>
            <w:r w:rsidR="00322534" w:rsidRPr="00A9365E">
              <w:rPr>
                <w:rFonts w:ascii="Tw Cen MT" w:eastAsia="Interstate-Light" w:hAnsi="Tw Cen MT" w:cs="Arial"/>
                <w:color w:val="000000" w:themeColor="text1"/>
                <w:lang w:val="en-US"/>
              </w:rPr>
              <w:t xml:space="preserve"> to meet the </w:t>
            </w:r>
            <w:r w:rsidR="00B662B5" w:rsidRPr="00A9365E">
              <w:rPr>
                <w:rFonts w:ascii="Tw Cen MT" w:eastAsia="Interstate-Light" w:hAnsi="Tw Cen MT" w:cs="Arial"/>
                <w:color w:val="000000" w:themeColor="text1"/>
                <w:lang w:val="en-US"/>
              </w:rPr>
              <w:t>minimum consumption.</w:t>
            </w:r>
          </w:p>
        </w:tc>
        <w:tc>
          <w:tcPr>
            <w:tcW w:w="2318" w:type="pct"/>
            <w:tcBorders>
              <w:top w:val="single" w:sz="8" w:space="0" w:color="000000" w:themeColor="text1"/>
              <w:bottom w:val="single" w:sz="8" w:space="0" w:color="000000" w:themeColor="text1"/>
              <w:right w:val="nil"/>
            </w:tcBorders>
            <w:shd w:val="clear" w:color="auto" w:fill="E1E7F0"/>
          </w:tcPr>
          <w:p w14:paraId="47DA7A28" w14:textId="0C2510AB"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lastRenderedPageBreak/>
              <w:t xml:space="preserve">The intent of this clause is to provide assurance to the DER developer that the C&amp;I customer does not plan to defect from the contract. </w:t>
            </w:r>
            <w:proofErr w:type="gramStart"/>
            <w:r w:rsidRPr="00A9365E">
              <w:rPr>
                <w:rFonts w:ascii="Tw Cen MT" w:eastAsia="Interstate-Light" w:hAnsi="Tw Cen MT" w:cs="Arial"/>
                <w:color w:val="000000" w:themeColor="text1"/>
                <w:lang w:val="en-US"/>
              </w:rPr>
              <w:t>A Minimum</w:t>
            </w:r>
            <w:proofErr w:type="gramEnd"/>
            <w:r w:rsidRPr="00A9365E">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lastRenderedPageBreak/>
              <w:t>Consumption confirms that the C&amp;I customer plans to continue to use electricity at similar levels as in the initial assessment (as materialized loads will greatly impact project economics). This discourages customers</w:t>
            </w:r>
            <w:r w:rsidR="009F42BE" w:rsidRPr="00A9365E">
              <w:rPr>
                <w:rFonts w:ascii="Tw Cen MT" w:eastAsia="Interstate-Light" w:hAnsi="Tw Cen MT" w:cs="Arial"/>
                <w:color w:val="000000" w:themeColor="text1"/>
                <w:lang w:val="en-US"/>
              </w:rPr>
              <w:t xml:space="preserve"> </w:t>
            </w:r>
            <w:r w:rsidRPr="00A9365E">
              <w:rPr>
                <w:rFonts w:ascii="Tw Cen MT" w:eastAsia="Interstate-Light" w:hAnsi="Tw Cen MT" w:cs="Arial"/>
                <w:color w:val="000000" w:themeColor="text1"/>
                <w:lang w:val="en-US"/>
              </w:rPr>
              <w:t xml:space="preserve">from intentionally oversizing their systems, which would undermine the economics of the project for the DER developer and </w:t>
            </w:r>
            <w:r w:rsidR="000945A0"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w:t>
            </w:r>
            <w:r w:rsidR="001F4BC6" w:rsidRPr="00A9365E">
              <w:rPr>
                <w:rFonts w:ascii="Tw Cen MT" w:eastAsia="Interstate-Light" w:hAnsi="Tw Cen MT" w:cs="Arial"/>
                <w:color w:val="000000" w:themeColor="text1"/>
                <w:lang w:val="en-US"/>
              </w:rPr>
              <w:t xml:space="preserve">The developer will </w:t>
            </w:r>
            <w:r w:rsidR="0020580C">
              <w:rPr>
                <w:rFonts w:ascii="Tw Cen MT" w:eastAsia="Interstate-Light" w:hAnsi="Tw Cen MT" w:cs="Arial"/>
                <w:color w:val="000000" w:themeColor="text1"/>
                <w:lang w:val="en-US"/>
              </w:rPr>
              <w:t>propose</w:t>
            </w:r>
            <w:r w:rsidR="001F4BC6" w:rsidRPr="00A9365E">
              <w:rPr>
                <w:rFonts w:ascii="Tw Cen MT" w:eastAsia="Interstate-Light" w:hAnsi="Tw Cen MT" w:cs="Arial"/>
                <w:color w:val="000000" w:themeColor="text1"/>
                <w:lang w:val="en-US"/>
              </w:rPr>
              <w:t xml:space="preserve"> the DER size </w:t>
            </w:r>
            <w:r w:rsidR="0095771A" w:rsidRPr="00A9365E">
              <w:rPr>
                <w:rFonts w:ascii="Tw Cen MT" w:eastAsia="Interstate-Light" w:hAnsi="Tw Cen MT" w:cs="Arial"/>
                <w:color w:val="000000" w:themeColor="text1"/>
                <w:lang w:val="en-US"/>
              </w:rPr>
              <w:t xml:space="preserve">which </w:t>
            </w:r>
            <w:r w:rsidR="00007F88" w:rsidRPr="00A9365E">
              <w:rPr>
                <w:rFonts w:ascii="Tw Cen MT" w:eastAsia="Interstate-Light" w:hAnsi="Tw Cen MT" w:cs="Arial"/>
                <w:color w:val="000000" w:themeColor="text1"/>
                <w:lang w:val="en-US"/>
              </w:rPr>
              <w:t xml:space="preserve">will be stated </w:t>
            </w:r>
            <w:r w:rsidR="0020580C">
              <w:rPr>
                <w:rFonts w:ascii="Tw Cen MT" w:eastAsia="Interstate-Light" w:hAnsi="Tw Cen MT" w:cs="Arial"/>
                <w:color w:val="000000" w:themeColor="text1"/>
                <w:lang w:val="en-US"/>
              </w:rPr>
              <w:t>on</w:t>
            </w:r>
            <w:r w:rsidR="00007F88" w:rsidRPr="00A9365E">
              <w:rPr>
                <w:rFonts w:ascii="Tw Cen MT" w:eastAsia="Interstate-Light" w:hAnsi="Tw Cen MT" w:cs="Arial"/>
                <w:color w:val="000000" w:themeColor="text1"/>
                <w:lang w:val="en-US"/>
              </w:rPr>
              <w:t xml:space="preserve"> the cover page of the </w:t>
            </w:r>
            <w:r w:rsidR="00AE23A6" w:rsidRPr="00A9365E">
              <w:rPr>
                <w:rFonts w:ascii="Tw Cen MT" w:eastAsia="Interstate-Light" w:hAnsi="Tw Cen MT" w:cs="Arial"/>
                <w:color w:val="000000" w:themeColor="text1"/>
                <w:lang w:val="en-US"/>
              </w:rPr>
              <w:t>contract</w:t>
            </w:r>
            <w:r w:rsidR="00AE23A6" w:rsidRPr="00A9365E">
              <w:rPr>
                <w:rFonts w:ascii="Tw Cen MT" w:eastAsia="Interstate-Light" w:hAnsi="Tw Cen MT" w:cs="Arial"/>
                <w:color w:val="000000" w:themeColor="text1"/>
              </w:rPr>
              <w:t>.</w:t>
            </w:r>
          </w:p>
          <w:p w14:paraId="238D2966" w14:textId="77777777"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7979F1DD" w14:textId="1D283660"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Minimum Consumption can be calculated</w:t>
            </w:r>
            <w:r w:rsidR="000E6168" w:rsidRPr="00A9365E">
              <w:rPr>
                <w:rFonts w:ascii="Tw Cen MT" w:eastAsia="Interstate-Light" w:hAnsi="Tw Cen MT" w:cs="Arial"/>
                <w:color w:val="000000" w:themeColor="text1"/>
                <w:lang w:val="en-US"/>
              </w:rPr>
              <w:t xml:space="preserve"> </w:t>
            </w:r>
            <w:proofErr w:type="spellStart"/>
            <w:r w:rsidR="00AE23A6" w:rsidRPr="00A9365E">
              <w:rPr>
                <w:rFonts w:ascii="Tw Cen MT" w:eastAsia="Interstate-Light" w:hAnsi="Tw Cen MT" w:cs="Arial"/>
                <w:color w:val="000000" w:themeColor="text1"/>
                <w:lang w:val="en-US"/>
              </w:rPr>
              <w:t>mon</w:t>
            </w:r>
            <w:proofErr w:type="spellEnd"/>
            <w:r w:rsidR="00AE23A6" w:rsidRPr="00A9365E">
              <w:rPr>
                <w:rFonts w:ascii="Tw Cen MT" w:eastAsia="Interstate-Light" w:hAnsi="Tw Cen MT" w:cs="Arial"/>
                <w:color w:val="000000" w:themeColor="text1"/>
              </w:rPr>
              <w:t>thly</w:t>
            </w:r>
            <w:r w:rsidR="000E6168" w:rsidRPr="00A9365E">
              <w:rPr>
                <w:rFonts w:ascii="Tw Cen MT" w:eastAsia="Interstate-Light" w:hAnsi="Tw Cen MT" w:cs="Arial"/>
                <w:color w:val="000000" w:themeColor="text1"/>
                <w:lang w:val="en-US"/>
              </w:rPr>
              <w:t>,</w:t>
            </w:r>
            <w:r w:rsidR="00B747CF" w:rsidRPr="00A9365E">
              <w:rPr>
                <w:rFonts w:ascii="Tw Cen MT" w:eastAsia="Interstate-Light" w:hAnsi="Tw Cen MT" w:cs="Arial"/>
                <w:color w:val="000000" w:themeColor="text1"/>
                <w:lang w:val="en-US"/>
              </w:rPr>
              <w:t xml:space="preserve"> quarterly basis</w:t>
            </w:r>
            <w:r w:rsidR="0029395C">
              <w:rPr>
                <w:rFonts w:ascii="Tw Cen MT" w:eastAsia="Interstate-Light" w:hAnsi="Tw Cen MT" w:cs="Arial"/>
                <w:color w:val="000000" w:themeColor="text1"/>
                <w:lang w:val="en-US"/>
              </w:rPr>
              <w:t>,</w:t>
            </w:r>
            <w:r w:rsidR="000E6168" w:rsidRPr="00A9365E">
              <w:rPr>
                <w:rFonts w:ascii="Tw Cen MT" w:eastAsia="Interstate-Light" w:hAnsi="Tw Cen MT" w:cs="Arial"/>
                <w:color w:val="000000" w:themeColor="text1"/>
                <w:lang w:val="en-US"/>
              </w:rPr>
              <w:t xml:space="preserve"> or</w:t>
            </w:r>
            <w:r w:rsidRPr="00A9365E">
              <w:rPr>
                <w:rFonts w:ascii="Tw Cen MT" w:eastAsia="Interstate-Light" w:hAnsi="Tw Cen MT" w:cs="Arial"/>
                <w:color w:val="000000" w:themeColor="text1"/>
                <w:lang w:val="en-US"/>
              </w:rPr>
              <w:t xml:space="preserve"> on a six-month basis to account for seasonal fluctuations in the C&amp;I customer’s operations.</w:t>
            </w:r>
            <w:r w:rsidR="00CF3480" w:rsidRPr="00A9365E">
              <w:rPr>
                <w:rFonts w:ascii="Tw Cen MT" w:eastAsia="Interstate-Light" w:hAnsi="Tw Cen MT" w:cs="Arial"/>
                <w:color w:val="000000" w:themeColor="text1"/>
                <w:lang w:val="en-US"/>
              </w:rPr>
              <w:t xml:space="preserve"> </w:t>
            </w:r>
          </w:p>
        </w:tc>
      </w:tr>
      <w:tr w:rsidR="007A1E82" w:rsidRPr="00A9365E" w14:paraId="6B4F1011" w14:textId="77777777" w:rsidTr="04176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067634D3" w14:textId="79F672E3"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lastRenderedPageBreak/>
              <w:t xml:space="preserve">Billings and </w:t>
            </w:r>
            <w:r w:rsidR="54556792" w:rsidRPr="06F10F4C">
              <w:rPr>
                <w:rFonts w:ascii="Tw Cen MT" w:hAnsi="Tw Cen MT" w:cs="Arial"/>
                <w:color w:val="000000" w:themeColor="text1"/>
                <w:lang w:val="en-US"/>
              </w:rPr>
              <w:t>c</w:t>
            </w:r>
            <w:r w:rsidRPr="06F10F4C">
              <w:rPr>
                <w:rFonts w:ascii="Tw Cen MT" w:hAnsi="Tw Cen MT" w:cs="Arial"/>
                <w:color w:val="000000" w:themeColor="text1"/>
                <w:lang w:val="en-US"/>
              </w:rPr>
              <w:t>ollections</w:t>
            </w:r>
            <w:r w:rsidR="37D9814C" w:rsidRPr="06F10F4C">
              <w:rPr>
                <w:rFonts w:ascii="Tw Cen MT" w:hAnsi="Tw Cen MT" w:cs="Arial"/>
                <w:color w:val="000000" w:themeColor="text1"/>
                <w:lang w:val="en-US"/>
              </w:rPr>
              <w:t xml:space="preserve"> (B&amp;C)</w:t>
            </w:r>
          </w:p>
        </w:tc>
        <w:tc>
          <w:tcPr>
            <w:tcW w:w="1926" w:type="pct"/>
            <w:tcBorders>
              <w:top w:val="single" w:sz="8" w:space="0" w:color="000000" w:themeColor="text1"/>
              <w:bottom w:val="single" w:sz="8" w:space="0" w:color="000000" w:themeColor="text1"/>
              <w:right w:val="nil"/>
            </w:tcBorders>
            <w:shd w:val="clear" w:color="auto" w:fill="auto"/>
          </w:tcPr>
          <w:p w14:paraId="7FD52F75" w14:textId="06FFA65C" w:rsidR="007A1E82" w:rsidRPr="00A9365E" w:rsidRDefault="0029395C" w:rsidP="007A1E82">
            <w:pPr>
              <w:numPr>
                <w:ilvl w:val="0"/>
                <w:numId w:val="2"/>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developer </w:t>
            </w:r>
            <w:r w:rsidR="002039A6" w:rsidRPr="00A9365E">
              <w:rPr>
                <w:rFonts w:ascii="Tw Cen MT" w:eastAsia="Interstate-Light" w:hAnsi="Tw Cen MT" w:cs="Arial"/>
                <w:color w:val="000000" w:themeColor="text1"/>
                <w:lang w:val="en-US"/>
              </w:rPr>
              <w:t>is</w:t>
            </w:r>
            <w:r w:rsidR="007A1E82" w:rsidRPr="00A9365E">
              <w:rPr>
                <w:rFonts w:ascii="Tw Cen MT" w:eastAsia="Interstate-Light" w:hAnsi="Tw Cen MT" w:cs="Arial"/>
                <w:color w:val="000000" w:themeColor="text1"/>
                <w:lang w:val="en-US"/>
              </w:rPr>
              <w:t xml:space="preserve"> responsible for billing the customer for </w:t>
            </w:r>
            <w:r w:rsidR="007A1E82" w:rsidRPr="00A9365E">
              <w:rPr>
                <w:rFonts w:ascii="Tw Cen MT" w:eastAsia="Interstate-Light" w:hAnsi="Tw Cen MT" w:cs="Arial"/>
                <w:b/>
                <w:bCs/>
                <w:color w:val="000000" w:themeColor="text1"/>
                <w:lang w:val="en-US"/>
              </w:rPr>
              <w:t>all electricity received</w:t>
            </w:r>
            <w:r w:rsidR="007A1E82" w:rsidRPr="00A9365E">
              <w:rPr>
                <w:rFonts w:ascii="Tw Cen MT" w:eastAsia="Interstate-Light" w:hAnsi="Tw Cen MT" w:cs="Arial"/>
                <w:color w:val="000000" w:themeColor="text1"/>
                <w:lang w:val="en-US"/>
              </w:rPr>
              <w:t xml:space="preserve"> (from both </w:t>
            </w: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w:t>
            </w:r>
            <w:r w:rsidR="006F3A61" w:rsidRPr="00A9365E">
              <w:rPr>
                <w:rFonts w:ascii="Tw Cen MT" w:eastAsia="Interstate-Light" w:hAnsi="Tw Cen MT" w:cs="Arial"/>
                <w:color w:val="000000" w:themeColor="text1"/>
                <w:lang w:val="en-US"/>
              </w:rPr>
              <w:t>plant</w:t>
            </w:r>
            <w:r w:rsidR="007A1E82" w:rsidRPr="00A9365E">
              <w:rPr>
                <w:rFonts w:ascii="Tw Cen MT" w:eastAsia="Interstate-Light" w:hAnsi="Tw Cen MT" w:cs="Arial"/>
                <w:color w:val="000000" w:themeColor="text1"/>
                <w:lang w:val="en-US"/>
              </w:rPr>
              <w:t xml:space="preserve"> and the grid) and collecting the payment from the customer.</w:t>
            </w:r>
          </w:p>
          <w:p w14:paraId="308A8D2C" w14:textId="230DD2DB" w:rsidR="007A1E82" w:rsidRPr="00A9365E" w:rsidRDefault="0020580C" w:rsidP="007A1E82">
            <w:pPr>
              <w:numPr>
                <w:ilvl w:val="0"/>
                <w:numId w:val="2"/>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68C5EFBA">
              <w:rPr>
                <w:rFonts w:ascii="Tw Cen MT" w:eastAsia="Interstate-Light" w:hAnsi="Tw Cen MT" w:cs="Arial"/>
                <w:color w:val="000000" w:themeColor="text1"/>
                <w:lang w:val="en-US"/>
              </w:rPr>
              <w:t>The utility</w:t>
            </w:r>
            <w:r w:rsidR="007A1E82" w:rsidRPr="68C5EFBA">
              <w:rPr>
                <w:rFonts w:ascii="Tw Cen MT" w:eastAsia="Interstate-Light" w:hAnsi="Tw Cen MT" w:cs="Arial"/>
                <w:color w:val="000000" w:themeColor="text1"/>
                <w:lang w:val="en-US"/>
              </w:rPr>
              <w:t xml:space="preserve"> will bill the DER developer for </w:t>
            </w:r>
            <w:r w:rsidRPr="68C5EFBA">
              <w:rPr>
                <w:rFonts w:ascii="Tw Cen MT" w:eastAsia="Interstate-Light" w:hAnsi="Tw Cen MT" w:cs="Arial"/>
                <w:color w:val="000000" w:themeColor="text1"/>
                <w:lang w:val="en-US"/>
              </w:rPr>
              <w:t xml:space="preserve">the </w:t>
            </w:r>
            <w:r w:rsidR="007A1E82" w:rsidRPr="68C5EFBA">
              <w:rPr>
                <w:rFonts w:ascii="Tw Cen MT" w:eastAsia="Interstate-Light" w:hAnsi="Tw Cen MT" w:cs="Arial"/>
                <w:color w:val="000000" w:themeColor="text1"/>
                <w:lang w:val="en-US"/>
              </w:rPr>
              <w:t xml:space="preserve">electricity it provides, </w:t>
            </w:r>
            <w:r w:rsidRPr="68C5EFBA">
              <w:rPr>
                <w:rFonts w:ascii="Tw Cen MT" w:eastAsia="Interstate-Light" w:hAnsi="Tw Cen MT" w:cs="Arial"/>
                <w:color w:val="000000" w:themeColor="text1"/>
                <w:lang w:val="en-US"/>
              </w:rPr>
              <w:t xml:space="preserve">and </w:t>
            </w:r>
            <w:r w:rsidR="007A1E82" w:rsidRPr="68C5EFBA">
              <w:rPr>
                <w:rFonts w:ascii="Tw Cen MT" w:eastAsia="Interstate-Light" w:hAnsi="Tw Cen MT" w:cs="Arial"/>
                <w:color w:val="000000" w:themeColor="text1"/>
                <w:lang w:val="en-US"/>
              </w:rPr>
              <w:t xml:space="preserve">then the DER developer will settle with </w:t>
            </w:r>
            <w:r w:rsidRPr="68C5EFBA">
              <w:rPr>
                <w:rFonts w:ascii="Tw Cen MT" w:eastAsia="Interstate-Light" w:hAnsi="Tw Cen MT" w:cs="Arial"/>
                <w:color w:val="000000" w:themeColor="text1"/>
                <w:lang w:val="en-US"/>
              </w:rPr>
              <w:t xml:space="preserve">the </w:t>
            </w:r>
            <w:r w:rsidR="00752AE6" w:rsidRPr="68C5EFBA">
              <w:rPr>
                <w:rFonts w:ascii="Tw Cen MT" w:eastAsia="Interstate-Light" w:hAnsi="Tw Cen MT" w:cs="Arial"/>
                <w:color w:val="000000" w:themeColor="text1"/>
                <w:lang w:val="en-US"/>
              </w:rPr>
              <w:t>utility</w:t>
            </w:r>
            <w:r w:rsidR="007A1E82" w:rsidRPr="68C5EFBA">
              <w:rPr>
                <w:rFonts w:ascii="Tw Cen MT" w:eastAsia="Interstate-Light" w:hAnsi="Tw Cen MT" w:cs="Arial"/>
                <w:color w:val="000000" w:themeColor="text1"/>
                <w:lang w:val="en-US"/>
              </w:rPr>
              <w:t xml:space="preserve"> for electricity received from the grid at the specified </w:t>
            </w:r>
            <w:r w:rsidR="00EC44B5" w:rsidRPr="68C5EFBA">
              <w:rPr>
                <w:rFonts w:ascii="Tw Cen MT" w:eastAsia="Interstate-Light" w:hAnsi="Tw Cen MT" w:cs="Arial"/>
                <w:color w:val="000000" w:themeColor="text1"/>
                <w:lang w:val="en-US"/>
              </w:rPr>
              <w:t>utility</w:t>
            </w:r>
            <w:r w:rsidR="007A1E82" w:rsidRPr="68C5EFBA">
              <w:rPr>
                <w:rFonts w:ascii="Tw Cen MT" w:eastAsia="Interstate-Light" w:hAnsi="Tw Cen MT" w:cs="Arial"/>
                <w:color w:val="000000" w:themeColor="text1"/>
                <w:lang w:val="en-US"/>
              </w:rPr>
              <w:t xml:space="preserve"> grid tariff, minus any project-related debts (e.g., grid upgrade repayment</w:t>
            </w:r>
            <w:r w:rsidR="004842D7" w:rsidRPr="68C5EFBA">
              <w:rPr>
                <w:rFonts w:ascii="Tw Cen MT" w:eastAsia="Interstate-Light" w:hAnsi="Tw Cen MT" w:cs="Arial"/>
                <w:color w:val="000000" w:themeColor="text1"/>
                <w:lang w:val="en-US"/>
              </w:rPr>
              <w:t xml:space="preserve"> if co-financed</w:t>
            </w:r>
            <w:r w:rsidRPr="68C5EFBA">
              <w:rPr>
                <w:rStyle w:val="FootnoteReference"/>
                <w:rFonts w:ascii="Tw Cen MT" w:eastAsia="Interstate-Light" w:hAnsi="Tw Cen MT" w:cs="Arial"/>
                <w:color w:val="000000" w:themeColor="text1"/>
                <w:lang w:val="en-US"/>
              </w:rPr>
              <w:footnoteReference w:id="10"/>
            </w:r>
            <w:r w:rsidR="007A1E82" w:rsidRPr="68C5EFBA">
              <w:rPr>
                <w:rFonts w:ascii="Tw Cen MT" w:eastAsia="Interstate-Light" w:hAnsi="Tw Cen MT" w:cs="Arial"/>
                <w:color w:val="000000" w:themeColor="text1"/>
                <w:lang w:val="en-US"/>
              </w:rPr>
              <w:t xml:space="preserve">) the </w:t>
            </w:r>
            <w:r w:rsidR="00EC44B5" w:rsidRPr="68C5EFBA">
              <w:rPr>
                <w:rFonts w:ascii="Tw Cen MT" w:eastAsia="Interstate-Light" w:hAnsi="Tw Cen MT" w:cs="Arial"/>
                <w:color w:val="000000" w:themeColor="text1"/>
                <w:lang w:val="en-US"/>
              </w:rPr>
              <w:t>utility</w:t>
            </w:r>
            <w:r w:rsidR="007A1E82" w:rsidRPr="68C5EFBA">
              <w:rPr>
                <w:rFonts w:ascii="Tw Cen MT" w:eastAsia="Interstate-Light" w:hAnsi="Tw Cen MT" w:cs="Arial"/>
                <w:color w:val="000000" w:themeColor="text1"/>
                <w:lang w:val="en-US"/>
              </w:rPr>
              <w:t xml:space="preserve"> holds or incurs.</w:t>
            </w:r>
          </w:p>
        </w:tc>
        <w:tc>
          <w:tcPr>
            <w:tcW w:w="2318" w:type="pct"/>
            <w:tcBorders>
              <w:top w:val="single" w:sz="8" w:space="0" w:color="000000" w:themeColor="text1"/>
              <w:bottom w:val="single" w:sz="8" w:space="0" w:color="000000" w:themeColor="text1"/>
              <w:right w:val="nil"/>
            </w:tcBorders>
            <w:shd w:val="clear" w:color="auto" w:fill="E1E7F0"/>
          </w:tcPr>
          <w:p w14:paraId="1936C01B" w14:textId="074D26DC" w:rsidR="007A1E82" w:rsidRPr="00A9365E" w:rsidRDefault="00FC663A"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As opposed to business as usual where the customer is billed by </w:t>
            </w:r>
            <w:r w:rsidR="00B645DA" w:rsidRPr="00A9365E">
              <w:rPr>
                <w:rFonts w:ascii="Tw Cen MT" w:hAnsi="Tw Cen MT" w:cs="Arial"/>
                <w:lang w:val="en-US"/>
              </w:rPr>
              <w:t>the utility and the DER developer (</w:t>
            </w:r>
            <w:r w:rsidR="00AE23A6" w:rsidRPr="00A9365E">
              <w:rPr>
                <w:rFonts w:ascii="Tw Cen MT" w:hAnsi="Tw Cen MT" w:cs="Arial"/>
                <w:lang w:val="en-US"/>
              </w:rPr>
              <w:t>i.e.</w:t>
            </w:r>
            <w:r w:rsidR="00AE23A6" w:rsidRPr="00A9365E">
              <w:rPr>
                <w:rFonts w:ascii="Tw Cen MT" w:hAnsi="Tw Cen MT" w:cs="Arial"/>
              </w:rPr>
              <w:t>,</w:t>
            </w:r>
            <w:r w:rsidR="00B645DA" w:rsidRPr="00A9365E">
              <w:rPr>
                <w:rFonts w:ascii="Tw Cen MT" w:hAnsi="Tw Cen MT" w:cs="Arial"/>
                <w:lang w:val="en-US"/>
              </w:rPr>
              <w:t xml:space="preserve"> typical C&amp;I scenario) the</w:t>
            </w:r>
            <w:r w:rsidR="00BD75FE" w:rsidRPr="00A9365E">
              <w:rPr>
                <w:rFonts w:ascii="Tw Cen MT" w:hAnsi="Tw Cen MT" w:cs="Arial"/>
                <w:lang w:val="en-US"/>
              </w:rPr>
              <w:t xml:space="preserve"> </w:t>
            </w:r>
            <w:r w:rsidR="0020580C">
              <w:rPr>
                <w:rFonts w:ascii="Tw Cen MT" w:hAnsi="Tw Cen MT" w:cs="Arial"/>
                <w:lang w:val="en-US"/>
              </w:rPr>
              <w:t>proposed</w:t>
            </w:r>
            <w:r w:rsidR="00BD75FE" w:rsidRPr="00A9365E">
              <w:rPr>
                <w:rFonts w:ascii="Tw Cen MT" w:hAnsi="Tw Cen MT" w:cs="Arial"/>
                <w:lang w:val="en-US"/>
              </w:rPr>
              <w:t xml:space="preserve"> arrangement</w:t>
            </w:r>
            <w:r w:rsidR="007A1E82" w:rsidRPr="00A9365E">
              <w:rPr>
                <w:rFonts w:ascii="Tw Cen MT" w:hAnsi="Tw Cen MT" w:cs="Arial"/>
                <w:lang w:val="en-US"/>
              </w:rPr>
              <w:t xml:space="preserve"> gives the customer a single point of contact for all billing and collections: the DER developer.</w:t>
            </w:r>
            <w:r w:rsidR="00257776" w:rsidRPr="00A9365E">
              <w:rPr>
                <w:rFonts w:ascii="Tw Cen MT" w:hAnsi="Tw Cen MT" w:cs="Arial"/>
                <w:lang w:val="en-US"/>
              </w:rPr>
              <w:t xml:space="preserve"> The DER developer </w:t>
            </w:r>
            <w:r w:rsidR="000F0F36" w:rsidRPr="00A9365E">
              <w:rPr>
                <w:rFonts w:ascii="Tw Cen MT" w:hAnsi="Tw Cen MT" w:cs="Arial"/>
                <w:lang w:val="en-US"/>
              </w:rPr>
              <w:t>and the utility settle their own money flows</w:t>
            </w:r>
            <w:r w:rsidR="007A1E82" w:rsidRPr="00A9365E">
              <w:rPr>
                <w:rFonts w:ascii="Tw Cen MT" w:hAnsi="Tw Cen MT" w:cs="Arial"/>
                <w:lang w:val="en-US"/>
              </w:rPr>
              <w:t xml:space="preserve"> </w:t>
            </w:r>
            <w:r w:rsidR="000F0F36" w:rsidRPr="00A9365E">
              <w:rPr>
                <w:rFonts w:ascii="Tw Cen MT" w:hAnsi="Tw Cen MT" w:cs="Arial"/>
                <w:lang w:val="en-US"/>
              </w:rPr>
              <w:t>b</w:t>
            </w:r>
            <w:r w:rsidR="007A1E82" w:rsidRPr="00A9365E">
              <w:rPr>
                <w:rFonts w:ascii="Tw Cen MT" w:hAnsi="Tw Cen MT" w:cs="Arial"/>
                <w:lang w:val="en-US"/>
              </w:rPr>
              <w:t xml:space="preserve">y deducting any debts the </w:t>
            </w:r>
            <w:r w:rsidR="00E97255" w:rsidRPr="00A9365E">
              <w:rPr>
                <w:rFonts w:ascii="Tw Cen MT" w:hAnsi="Tw Cen MT" w:cs="Arial"/>
                <w:lang w:val="en-US"/>
              </w:rPr>
              <w:t>utility</w:t>
            </w:r>
            <w:r w:rsidR="007A1E82" w:rsidRPr="00A9365E">
              <w:rPr>
                <w:rFonts w:ascii="Tw Cen MT" w:hAnsi="Tw Cen MT" w:cs="Arial"/>
                <w:lang w:val="en-US"/>
              </w:rPr>
              <w:t xml:space="preserve"> incurs from the</w:t>
            </w:r>
            <w:r w:rsidR="000F0F36" w:rsidRPr="00A9365E">
              <w:rPr>
                <w:rFonts w:ascii="Tw Cen MT" w:hAnsi="Tw Cen MT" w:cs="Arial"/>
                <w:lang w:val="en-US"/>
              </w:rPr>
              <w:t xml:space="preserve"> electricity sales</w:t>
            </w:r>
            <w:r w:rsidR="007A1E82" w:rsidRPr="00A9365E">
              <w:rPr>
                <w:rFonts w:ascii="Tw Cen MT" w:hAnsi="Tw Cen MT" w:cs="Arial"/>
                <w:lang w:val="en-US"/>
              </w:rPr>
              <w:t xml:space="preserve"> amount </w:t>
            </w:r>
            <w:r w:rsidR="000F0F36" w:rsidRPr="00A9365E">
              <w:rPr>
                <w:rFonts w:ascii="Tw Cen MT" w:hAnsi="Tw Cen MT" w:cs="Arial"/>
                <w:lang w:val="en-US"/>
              </w:rPr>
              <w:t xml:space="preserve">that </w:t>
            </w:r>
            <w:r w:rsidR="007A1E82" w:rsidRPr="00A9365E">
              <w:rPr>
                <w:rFonts w:ascii="Tw Cen MT" w:hAnsi="Tw Cen MT" w:cs="Arial"/>
                <w:lang w:val="en-US"/>
              </w:rPr>
              <w:t xml:space="preserve">the DER developer owes the </w:t>
            </w:r>
            <w:r w:rsidR="00E97255" w:rsidRPr="00A9365E">
              <w:rPr>
                <w:rFonts w:ascii="Tw Cen MT" w:hAnsi="Tw Cen MT" w:cs="Arial"/>
                <w:lang w:val="en-US"/>
              </w:rPr>
              <w:t>utility</w:t>
            </w:r>
            <w:r w:rsidR="007A1E82" w:rsidRPr="00A9365E">
              <w:rPr>
                <w:rFonts w:ascii="Tw Cen MT" w:hAnsi="Tw Cen MT" w:cs="Arial"/>
                <w:lang w:val="en-US"/>
              </w:rPr>
              <w:t xml:space="preserve"> for suppl</w:t>
            </w:r>
            <w:r w:rsidR="009F42BE" w:rsidRPr="00A9365E">
              <w:rPr>
                <w:rFonts w:ascii="Tw Cen MT" w:hAnsi="Tw Cen MT" w:cs="Arial"/>
                <w:lang w:val="en-US"/>
              </w:rPr>
              <w:t>y</w:t>
            </w:r>
            <w:r w:rsidR="000F0F36" w:rsidRPr="00A9365E">
              <w:rPr>
                <w:rFonts w:ascii="Tw Cen MT" w:hAnsi="Tw Cen MT" w:cs="Arial"/>
                <w:lang w:val="en-US"/>
              </w:rPr>
              <w:t xml:space="preserve">, typically </w:t>
            </w:r>
            <w:proofErr w:type="spellStart"/>
            <w:r w:rsidR="00AE23A6" w:rsidRPr="00A9365E">
              <w:rPr>
                <w:rFonts w:ascii="Tw Cen MT" w:hAnsi="Tw Cen MT" w:cs="Arial"/>
                <w:lang w:val="en-US"/>
              </w:rPr>
              <w:t>mon</w:t>
            </w:r>
            <w:proofErr w:type="spellEnd"/>
            <w:r w:rsidR="00AE23A6" w:rsidRPr="00A9365E">
              <w:rPr>
                <w:rFonts w:ascii="Tw Cen MT" w:hAnsi="Tw Cen MT" w:cs="Arial"/>
              </w:rPr>
              <w:t>thly</w:t>
            </w:r>
            <w:r w:rsidR="009F42BE" w:rsidRPr="00A9365E">
              <w:rPr>
                <w:rFonts w:ascii="Tw Cen MT" w:hAnsi="Tw Cen MT" w:cs="Arial"/>
                <w:lang w:val="en-US"/>
              </w:rPr>
              <w:t>. T</w:t>
            </w:r>
            <w:r w:rsidR="007A1E82" w:rsidRPr="00A9365E">
              <w:rPr>
                <w:rFonts w:ascii="Tw Cen MT" w:hAnsi="Tw Cen MT" w:cs="Arial"/>
                <w:lang w:val="en-US"/>
              </w:rPr>
              <w:t>h</w:t>
            </w:r>
            <w:r w:rsidR="009F42BE" w:rsidRPr="00A9365E">
              <w:rPr>
                <w:rFonts w:ascii="Tw Cen MT" w:hAnsi="Tw Cen MT" w:cs="Arial"/>
                <w:lang w:val="en-US"/>
              </w:rPr>
              <w:t xml:space="preserve">is ensures that the </w:t>
            </w:r>
            <w:r w:rsidR="00E97255" w:rsidRPr="00A9365E">
              <w:rPr>
                <w:rFonts w:ascii="Tw Cen MT" w:hAnsi="Tw Cen MT" w:cs="Arial"/>
                <w:lang w:val="en-US"/>
              </w:rPr>
              <w:t>utility</w:t>
            </w:r>
            <w:r w:rsidR="007A1E82" w:rsidRPr="00A9365E">
              <w:rPr>
                <w:rFonts w:ascii="Tw Cen MT" w:hAnsi="Tw Cen MT" w:cs="Arial"/>
                <w:lang w:val="en-US"/>
              </w:rPr>
              <w:t xml:space="preserve"> </w:t>
            </w:r>
            <w:r w:rsidR="009F42BE" w:rsidRPr="00A9365E">
              <w:rPr>
                <w:rFonts w:ascii="Tw Cen MT" w:hAnsi="Tw Cen MT" w:cs="Arial"/>
                <w:lang w:val="en-US"/>
              </w:rPr>
              <w:t xml:space="preserve">is not </w:t>
            </w:r>
            <w:r w:rsidR="007A1E82" w:rsidRPr="00A9365E">
              <w:rPr>
                <w:rFonts w:ascii="Tw Cen MT" w:hAnsi="Tw Cen MT" w:cs="Arial"/>
                <w:lang w:val="en-US"/>
              </w:rPr>
              <w:t xml:space="preserve">required to transfer funds to the DER developer. </w:t>
            </w:r>
          </w:p>
          <w:p w14:paraId="52EDF156" w14:textId="77777777" w:rsidR="00326995" w:rsidRPr="00A9365E" w:rsidRDefault="00326995"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77521349" w14:textId="28A4BCF9" w:rsidR="00326995" w:rsidRPr="00A9365E" w:rsidRDefault="003E1F03"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OPTIONAL: </w:t>
            </w:r>
            <w:r w:rsidR="00326995" w:rsidRPr="00A9365E">
              <w:rPr>
                <w:rFonts w:ascii="Tw Cen MT" w:hAnsi="Tw Cen MT" w:cs="Arial"/>
                <w:lang w:val="en-US"/>
              </w:rPr>
              <w:t xml:space="preserve">The </w:t>
            </w:r>
            <w:r w:rsidR="007A0647" w:rsidRPr="00A9365E">
              <w:rPr>
                <w:rFonts w:ascii="Tw Cen MT" w:hAnsi="Tw Cen MT" w:cs="Arial"/>
                <w:lang w:val="en-US"/>
              </w:rPr>
              <w:t>Disco</w:t>
            </w:r>
            <w:r w:rsidR="00326995" w:rsidRPr="00A9365E">
              <w:rPr>
                <w:rFonts w:ascii="Tw Cen MT" w:hAnsi="Tw Cen MT" w:cs="Arial"/>
                <w:lang w:val="en-US"/>
              </w:rPr>
              <w:t xml:space="preserve"> could also req</w:t>
            </w:r>
            <w:r w:rsidR="007A0647" w:rsidRPr="00A9365E">
              <w:rPr>
                <w:rFonts w:ascii="Tw Cen MT" w:hAnsi="Tw Cen MT" w:cs="Arial"/>
                <w:lang w:val="en-US"/>
              </w:rPr>
              <w:t>uire the assistance of the developer to handle the</w:t>
            </w:r>
            <w:r w:rsidR="00302E92" w:rsidRPr="00A9365E">
              <w:rPr>
                <w:rFonts w:ascii="Tw Cen MT" w:hAnsi="Tw Cen MT" w:cs="Arial"/>
                <w:lang w:val="en-US"/>
              </w:rPr>
              <w:t xml:space="preserve"> collection of </w:t>
            </w:r>
            <w:r w:rsidR="00036EC3" w:rsidRPr="00A9365E">
              <w:rPr>
                <w:rFonts w:ascii="Tw Cen MT" w:hAnsi="Tw Cen MT" w:cs="Arial"/>
                <w:lang w:val="en-US"/>
              </w:rPr>
              <w:t xml:space="preserve">customer debts </w:t>
            </w:r>
            <w:r w:rsidR="009A4217" w:rsidRPr="00A9365E">
              <w:rPr>
                <w:rFonts w:ascii="Tw Cen MT" w:hAnsi="Tw Cen MT" w:cs="Arial"/>
                <w:lang w:val="en-US"/>
              </w:rPr>
              <w:t xml:space="preserve">as part </w:t>
            </w:r>
            <w:r w:rsidR="0020580C">
              <w:rPr>
                <w:rFonts w:ascii="Tw Cen MT" w:hAnsi="Tw Cen MT" w:cs="Arial"/>
                <w:lang w:val="en-US"/>
              </w:rPr>
              <w:t xml:space="preserve">of </w:t>
            </w:r>
            <w:r w:rsidR="009A4217" w:rsidRPr="00A9365E">
              <w:rPr>
                <w:rFonts w:ascii="Tw Cen MT" w:hAnsi="Tw Cen MT" w:cs="Arial"/>
                <w:lang w:val="en-US"/>
              </w:rPr>
              <w:t xml:space="preserve">their billing obligations. </w:t>
            </w:r>
            <w:r w:rsidR="00802241" w:rsidRPr="00A9365E">
              <w:rPr>
                <w:rFonts w:ascii="Tw Cen MT" w:hAnsi="Tw Cen MT" w:cs="Arial"/>
                <w:lang w:val="en-US"/>
              </w:rPr>
              <w:t xml:space="preserve">The </w:t>
            </w:r>
            <w:r w:rsidR="00EC44B5" w:rsidRPr="00A9365E">
              <w:rPr>
                <w:rFonts w:ascii="Tw Cen MT" w:hAnsi="Tw Cen MT" w:cs="Arial"/>
                <w:lang w:val="en-US"/>
              </w:rPr>
              <w:t>utility</w:t>
            </w:r>
            <w:r w:rsidR="00802241" w:rsidRPr="00A9365E">
              <w:rPr>
                <w:rFonts w:ascii="Tw Cen MT" w:hAnsi="Tw Cen MT" w:cs="Arial"/>
                <w:lang w:val="en-US"/>
              </w:rPr>
              <w:t xml:space="preserve"> will </w:t>
            </w:r>
            <w:r w:rsidR="00325BB7" w:rsidRPr="00A9365E">
              <w:rPr>
                <w:rFonts w:ascii="Tw Cen MT" w:hAnsi="Tw Cen MT" w:cs="Arial"/>
                <w:lang w:val="en-US"/>
              </w:rPr>
              <w:t xml:space="preserve">need to align with the developer based on </w:t>
            </w:r>
            <w:r w:rsidR="0020580C">
              <w:rPr>
                <w:rFonts w:ascii="Tw Cen MT" w:hAnsi="Tw Cen MT" w:cs="Arial"/>
                <w:lang w:val="en-US"/>
              </w:rPr>
              <w:t xml:space="preserve">the </w:t>
            </w:r>
            <w:r w:rsidR="00EC44B5" w:rsidRPr="00A9365E">
              <w:rPr>
                <w:rFonts w:ascii="Tw Cen MT" w:hAnsi="Tw Cen MT" w:cs="Arial"/>
                <w:lang w:val="en-US"/>
              </w:rPr>
              <w:t>utility</w:t>
            </w:r>
            <w:r w:rsidR="00A96841" w:rsidRPr="00A9365E">
              <w:rPr>
                <w:rFonts w:ascii="Tw Cen MT" w:hAnsi="Tw Cen MT" w:cs="Arial"/>
                <w:lang w:val="en-US"/>
              </w:rPr>
              <w:t xml:space="preserve"> process in engaging for these services. The developer will need to inform the customer of its additional role in this contract. It will be advisable that </w:t>
            </w:r>
            <w:r w:rsidR="000B112D" w:rsidRPr="00A9365E">
              <w:rPr>
                <w:rFonts w:ascii="Tw Cen MT" w:hAnsi="Tw Cen MT" w:cs="Arial"/>
                <w:lang w:val="en-US"/>
              </w:rPr>
              <w:t xml:space="preserve">this should be viewed as a separate agreement </w:t>
            </w:r>
            <w:r w:rsidR="006A6478" w:rsidRPr="00A9365E">
              <w:rPr>
                <w:rFonts w:ascii="Tw Cen MT" w:hAnsi="Tw Cen MT" w:cs="Arial"/>
                <w:lang w:val="en-US"/>
              </w:rPr>
              <w:t xml:space="preserve">aligning the various steps including debt verification </w:t>
            </w:r>
            <w:r w:rsidR="00A34035" w:rsidRPr="00A9365E">
              <w:rPr>
                <w:rFonts w:ascii="Tw Cen MT" w:hAnsi="Tw Cen MT" w:cs="Arial"/>
                <w:lang w:val="en-US"/>
              </w:rPr>
              <w:t xml:space="preserve">but </w:t>
            </w:r>
            <w:r w:rsidR="006A6478" w:rsidRPr="00A9365E">
              <w:rPr>
                <w:rFonts w:ascii="Tw Cen MT" w:hAnsi="Tw Cen MT" w:cs="Arial"/>
                <w:lang w:val="en-US"/>
              </w:rPr>
              <w:t xml:space="preserve">only </w:t>
            </w:r>
            <w:r w:rsidR="00A34035" w:rsidRPr="00A9365E">
              <w:rPr>
                <w:rFonts w:ascii="Tw Cen MT" w:hAnsi="Tw Cen MT" w:cs="Arial"/>
                <w:lang w:val="en-US"/>
              </w:rPr>
              <w:t>reference in th</w:t>
            </w:r>
            <w:r w:rsidR="00D1557C" w:rsidRPr="00A9365E">
              <w:rPr>
                <w:rFonts w:ascii="Tw Cen MT" w:hAnsi="Tw Cen MT" w:cs="Arial"/>
                <w:lang w:val="en-US"/>
              </w:rPr>
              <w:t xml:space="preserve">is </w:t>
            </w:r>
            <w:r w:rsidR="006A6478" w:rsidRPr="00A9365E">
              <w:rPr>
                <w:rFonts w:ascii="Tw Cen MT" w:hAnsi="Tw Cen MT" w:cs="Arial"/>
                <w:lang w:val="en-US"/>
              </w:rPr>
              <w:t>contract (</w:t>
            </w:r>
            <w:r w:rsidR="009D3643" w:rsidRPr="00A9365E">
              <w:rPr>
                <w:rFonts w:ascii="Tw Cen MT" w:hAnsi="Tw Cen MT" w:cs="Arial"/>
                <w:lang w:val="en-US"/>
              </w:rPr>
              <w:t xml:space="preserve">Disco will engage the developer for debt collection services </w:t>
            </w:r>
            <w:r w:rsidR="00606C04" w:rsidRPr="00A9365E">
              <w:rPr>
                <w:rFonts w:ascii="Tw Cen MT" w:hAnsi="Tw Cen MT" w:cs="Arial"/>
                <w:lang w:val="en-US"/>
              </w:rPr>
              <w:t>since responsible for billing the customer)</w:t>
            </w:r>
          </w:p>
          <w:p w14:paraId="4E569997" w14:textId="4A492B1F" w:rsidR="007A1E82" w:rsidRPr="00A9365E"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tc>
      </w:tr>
      <w:tr w:rsidR="007A1E82" w:rsidRPr="00A9365E" w14:paraId="17C91084"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532850B0" w14:textId="164B1300" w:rsidR="007A1E82" w:rsidRPr="00A9365E" w:rsidRDefault="00E87327"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lastRenderedPageBreak/>
              <w:t>Tariff</w:t>
            </w:r>
          </w:p>
        </w:tc>
        <w:tc>
          <w:tcPr>
            <w:tcW w:w="1926" w:type="pct"/>
            <w:tcBorders>
              <w:top w:val="single" w:sz="8" w:space="0" w:color="000000" w:themeColor="text1"/>
              <w:bottom w:val="single" w:sz="8" w:space="0" w:color="000000" w:themeColor="text1"/>
              <w:right w:val="nil"/>
            </w:tcBorders>
            <w:shd w:val="clear" w:color="auto" w:fill="auto"/>
          </w:tcPr>
          <w:p w14:paraId="4CAC5B29" w14:textId="7B0FED9C" w:rsidR="007A1E82" w:rsidRPr="00A9365E" w:rsidRDefault="0029395C"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 xml:space="preserve">DER developer will sell electricity to the customer </w:t>
            </w:r>
            <w:r w:rsidR="007A1E82" w:rsidRPr="00A9365E">
              <w:rPr>
                <w:rFonts w:ascii="Tw Cen MT" w:eastAsia="Interstate-Light" w:hAnsi="Tw Cen MT" w:cs="Arial"/>
                <w:b/>
                <w:bCs/>
                <w:color w:val="000000" w:themeColor="text1"/>
                <w:lang w:val="en-US"/>
              </w:rPr>
              <w:t>at a single Blended Tariff</w:t>
            </w:r>
            <w:r w:rsidR="007A1E82" w:rsidRPr="00A9365E">
              <w:rPr>
                <w:rFonts w:ascii="Tw Cen MT" w:eastAsia="Interstate-Light" w:hAnsi="Tw Cen MT" w:cs="Arial"/>
                <w:color w:val="000000" w:themeColor="text1"/>
                <w:lang w:val="en-US"/>
              </w:rPr>
              <w:t xml:space="preserve"> for all electricity consumed (from both </w:t>
            </w:r>
            <w:r>
              <w:rPr>
                <w:rFonts w:ascii="Tw Cen MT" w:eastAsia="Interstate-Light" w:hAnsi="Tw Cen MT" w:cs="Arial"/>
                <w:color w:val="000000" w:themeColor="text1"/>
                <w:lang w:val="en-US"/>
              </w:rPr>
              <w:t xml:space="preserve">the </w:t>
            </w:r>
            <w:r w:rsidR="007A1E82" w:rsidRPr="00A9365E">
              <w:rPr>
                <w:rFonts w:ascii="Tw Cen MT" w:eastAsia="Interstate-Light" w:hAnsi="Tw Cen MT" w:cs="Arial"/>
                <w:color w:val="000000" w:themeColor="text1"/>
                <w:lang w:val="en-US"/>
              </w:rPr>
              <w:t>DER system and the grid).</w:t>
            </w:r>
          </w:p>
          <w:p w14:paraId="0B320AF7" w14:textId="419AFDD7"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The Blended Tariff is predefined</w:t>
            </w:r>
            <w:r w:rsidRPr="00A9365E">
              <w:rPr>
                <w:rFonts w:ascii="Tw Cen MT" w:eastAsia="Interstate-Light" w:hAnsi="Tw Cen MT" w:cs="Arial"/>
                <w:b/>
                <w:bCs/>
                <w:color w:val="000000" w:themeColor="text1"/>
                <w:lang w:val="en-US"/>
              </w:rPr>
              <w:t xml:space="preserve"> </w:t>
            </w:r>
            <w:r w:rsidRPr="00A9365E">
              <w:rPr>
                <w:rFonts w:ascii="Tw Cen MT" w:eastAsia="Interstate-Light" w:hAnsi="Tw Cen MT" w:cs="Arial"/>
                <w:color w:val="000000" w:themeColor="text1"/>
                <w:lang w:val="en-US"/>
              </w:rPr>
              <w:t xml:space="preserve">and composed of the DER Tariff and the </w:t>
            </w:r>
            <w:r w:rsidR="007D16D2"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Grid Tariff. To provide stability and transparency, the Blended Tariff can only be adjusted due to changes in Market Conditions and changes in the </w:t>
            </w:r>
            <w:r w:rsidR="00850B48"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Grid Tariff.</w:t>
            </w:r>
          </w:p>
          <w:p w14:paraId="19DB5BC2" w14:textId="76B1DBF8" w:rsidR="007A1E82" w:rsidRPr="00A9365E" w:rsidRDefault="00850B48"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will include a </w:t>
            </w:r>
            <w:r w:rsidR="007A1E82" w:rsidRPr="00A9365E">
              <w:rPr>
                <w:rFonts w:ascii="Tw Cen MT" w:eastAsia="Interstate-Light" w:hAnsi="Tw Cen MT" w:cs="Arial"/>
                <w:b/>
                <w:bCs/>
                <w:color w:val="000000" w:themeColor="text1"/>
                <w:lang w:val="en-US"/>
              </w:rPr>
              <w:t>premium fee</w:t>
            </w:r>
            <w:r w:rsidR="007A1E82" w:rsidRPr="00A9365E">
              <w:rPr>
                <w:rFonts w:ascii="Tw Cen MT" w:eastAsia="Interstate-Light" w:hAnsi="Tw Cen MT" w:cs="Arial"/>
                <w:color w:val="000000" w:themeColor="text1"/>
                <w:lang w:val="en-US"/>
              </w:rPr>
              <w:t xml:space="preserve"> in the </w:t>
            </w:r>
            <w:r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Grid Tariff, which will ensure the </w:t>
            </w:r>
            <w:r w:rsidR="007A1E82" w:rsidRPr="00A9365E">
              <w:rPr>
                <w:rFonts w:ascii="Tw Cen MT" w:eastAsia="Interstate-Light" w:hAnsi="Tw Cen MT" w:cs="Arial"/>
                <w:b/>
                <w:bCs/>
                <w:color w:val="000000" w:themeColor="text1"/>
                <w:lang w:val="en-US"/>
              </w:rPr>
              <w:t xml:space="preserve">prioritization of the feeder for supply and maintenance. </w:t>
            </w:r>
          </w:p>
        </w:tc>
        <w:tc>
          <w:tcPr>
            <w:tcW w:w="2318" w:type="pct"/>
            <w:tcBorders>
              <w:top w:val="single" w:sz="8" w:space="0" w:color="000000" w:themeColor="text1"/>
              <w:bottom w:val="single" w:sz="8" w:space="0" w:color="000000" w:themeColor="text1"/>
              <w:right w:val="nil"/>
            </w:tcBorders>
            <w:shd w:val="clear" w:color="auto" w:fill="E1E7F0"/>
          </w:tcPr>
          <w:p w14:paraId="0F5BD388" w14:textId="6B52B6FC" w:rsidR="007A1E82" w:rsidRPr="00A9365E" w:rsidRDefault="007A1E82" w:rsidP="007A1E82">
            <w:pPr>
              <w:spacing w:line="23" w:lineRule="atLeast"/>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t xml:space="preserve">Having one </w:t>
            </w:r>
            <w:r w:rsidR="001E6AF6" w:rsidRPr="00A9365E">
              <w:rPr>
                <w:rFonts w:ascii="Tw Cen MT" w:hAnsi="Tw Cen MT" w:cs="Arial"/>
                <w:lang w:val="en-US"/>
              </w:rPr>
              <w:t>b</w:t>
            </w:r>
            <w:r w:rsidRPr="00A9365E">
              <w:rPr>
                <w:rFonts w:ascii="Tw Cen MT" w:hAnsi="Tw Cen MT" w:cs="Arial"/>
                <w:lang w:val="en-US"/>
              </w:rPr>
              <w:t xml:space="preserve">lended </w:t>
            </w:r>
            <w:r w:rsidR="001E6AF6" w:rsidRPr="00A9365E">
              <w:rPr>
                <w:rFonts w:ascii="Tw Cen MT" w:hAnsi="Tw Cen MT" w:cs="Arial"/>
                <w:lang w:val="en-US"/>
              </w:rPr>
              <w:t>t</w:t>
            </w:r>
            <w:r w:rsidRPr="00A9365E">
              <w:rPr>
                <w:rFonts w:ascii="Tw Cen MT" w:hAnsi="Tw Cen MT" w:cs="Arial"/>
                <w:lang w:val="en-US"/>
              </w:rPr>
              <w:t>ariff that the customer pays for all electricity consumed makes billing straightforward for customers. It also avoids inappropriate incentives for the customer to change their consumption pattern that might undermine project economics.</w:t>
            </w:r>
          </w:p>
          <w:p w14:paraId="50CEC8C5" w14:textId="77777777"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27F90888" w14:textId="652A2417" w:rsidR="007A1E82" w:rsidRPr="00A9365E" w:rsidRDefault="007A1E82"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hAnsi="Tw Cen MT" w:cs="Arial"/>
                <w:lang w:val="en-US"/>
              </w:rPr>
              <w:t xml:space="preserve">The </w:t>
            </w:r>
            <w:r w:rsidR="00E87327" w:rsidRPr="00A9365E">
              <w:rPr>
                <w:rFonts w:ascii="Tw Cen MT" w:hAnsi="Tw Cen MT" w:cs="Arial"/>
                <w:lang w:val="en-US"/>
              </w:rPr>
              <w:t>u</w:t>
            </w:r>
            <w:r w:rsidR="00850B48" w:rsidRPr="00A9365E">
              <w:rPr>
                <w:rFonts w:ascii="Tw Cen MT" w:hAnsi="Tw Cen MT" w:cs="Arial"/>
                <w:lang w:val="en-US"/>
              </w:rPr>
              <w:t>tility</w:t>
            </w:r>
            <w:r w:rsidRPr="00A9365E">
              <w:rPr>
                <w:rFonts w:ascii="Tw Cen MT" w:hAnsi="Tw Cen MT" w:cs="Arial"/>
                <w:lang w:val="en-US"/>
              </w:rPr>
              <w:t xml:space="preserve"> </w:t>
            </w:r>
            <w:r w:rsidR="001E6AF6" w:rsidRPr="00A9365E">
              <w:rPr>
                <w:rFonts w:ascii="Tw Cen MT" w:hAnsi="Tw Cen MT" w:cs="Arial"/>
                <w:lang w:val="en-US"/>
              </w:rPr>
              <w:t>g</w:t>
            </w:r>
            <w:r w:rsidRPr="00A9365E">
              <w:rPr>
                <w:rFonts w:ascii="Tw Cen MT" w:hAnsi="Tw Cen MT" w:cs="Arial"/>
                <w:lang w:val="en-US"/>
              </w:rPr>
              <w:t xml:space="preserve">rid </w:t>
            </w:r>
            <w:r w:rsidR="001E6AF6" w:rsidRPr="00A9365E">
              <w:rPr>
                <w:rFonts w:ascii="Tw Cen MT" w:hAnsi="Tw Cen MT" w:cs="Arial"/>
                <w:lang w:val="en-US"/>
              </w:rPr>
              <w:t>t</w:t>
            </w:r>
            <w:r w:rsidRPr="00A9365E">
              <w:rPr>
                <w:rFonts w:ascii="Tw Cen MT" w:hAnsi="Tw Cen MT" w:cs="Arial"/>
                <w:lang w:val="en-US"/>
              </w:rPr>
              <w:t xml:space="preserve">ariff is intended to be tied to the Multi-Year Tariff Order (MYTO) and the specific Band will need to be confirmed per transaction with </w:t>
            </w:r>
            <w:r w:rsidR="001E6AF6" w:rsidRPr="00A9365E">
              <w:rPr>
                <w:rFonts w:ascii="Tw Cen MT" w:hAnsi="Tw Cen MT" w:cs="Arial"/>
                <w:lang w:val="en-US"/>
              </w:rPr>
              <w:t>the</w:t>
            </w:r>
            <w:r w:rsidRPr="00A9365E">
              <w:rPr>
                <w:rFonts w:ascii="Tw Cen MT" w:hAnsi="Tw Cen MT" w:cs="Arial"/>
                <w:lang w:val="en-US"/>
              </w:rPr>
              <w:t xml:space="preserve"> </w:t>
            </w:r>
            <w:r w:rsidR="001E6AF6" w:rsidRPr="00A9365E">
              <w:rPr>
                <w:rFonts w:ascii="Tw Cen MT" w:hAnsi="Tw Cen MT" w:cs="Arial"/>
                <w:lang w:val="en-US"/>
              </w:rPr>
              <w:t>u</w:t>
            </w:r>
            <w:r w:rsidR="00850B48" w:rsidRPr="00A9365E">
              <w:rPr>
                <w:rFonts w:ascii="Tw Cen MT" w:hAnsi="Tw Cen MT" w:cs="Arial"/>
                <w:lang w:val="en-US"/>
              </w:rPr>
              <w:t>tility</w:t>
            </w:r>
            <w:r w:rsidRPr="00A9365E">
              <w:rPr>
                <w:rFonts w:ascii="Tw Cen MT" w:hAnsi="Tw Cen MT" w:cs="Arial"/>
                <w:lang w:val="en-US"/>
              </w:rPr>
              <w:t xml:space="preserve"> (w</w:t>
            </w:r>
            <w:r w:rsidR="00CC2B59" w:rsidRPr="00A9365E">
              <w:rPr>
                <w:rFonts w:ascii="Tw Cen MT" w:hAnsi="Tw Cen MT" w:cs="Arial"/>
                <w:lang w:val="en-US"/>
              </w:rPr>
              <w:t>ith the</w:t>
            </w:r>
            <w:r w:rsidR="00F5101A">
              <w:rPr>
                <w:rFonts w:ascii="Tw Cen MT" w:hAnsi="Tw Cen MT" w:cs="Arial"/>
                <w:lang w:val="en-US"/>
              </w:rPr>
              <w:t xml:space="preserve"> </w:t>
            </w:r>
            <w:r w:rsidRPr="00A9365E">
              <w:rPr>
                <w:rFonts w:ascii="Tw Cen MT" w:hAnsi="Tw Cen MT" w:cs="Arial"/>
                <w:lang w:val="en-US"/>
              </w:rPr>
              <w:t>expect</w:t>
            </w:r>
            <w:r w:rsidR="00CC2B59" w:rsidRPr="00A9365E">
              <w:rPr>
                <w:rFonts w:ascii="Tw Cen MT" w:hAnsi="Tw Cen MT" w:cs="Arial"/>
                <w:lang w:val="en-US"/>
              </w:rPr>
              <w:t>ation that</w:t>
            </w:r>
            <w:r w:rsidRPr="00A9365E">
              <w:rPr>
                <w:rFonts w:ascii="Tw Cen MT" w:hAnsi="Tw Cen MT" w:cs="Arial"/>
                <w:lang w:val="en-US"/>
              </w:rPr>
              <w:t xml:space="preserve"> it will be Band A</w:t>
            </w:r>
            <w:r w:rsidR="00F661F4" w:rsidRPr="00A9365E">
              <w:rPr>
                <w:rFonts w:ascii="Tw Cen MT" w:hAnsi="Tw Cen MT" w:cs="Arial"/>
                <w:lang w:val="en-US"/>
              </w:rPr>
              <w:t xml:space="preserve"> or B</w:t>
            </w:r>
            <w:r w:rsidRPr="00A9365E">
              <w:rPr>
                <w:rFonts w:ascii="Tw Cen MT" w:hAnsi="Tw Cen MT" w:cs="Arial"/>
                <w:lang w:val="en-US"/>
              </w:rPr>
              <w:t xml:space="preserve"> MD for most customers).</w:t>
            </w:r>
          </w:p>
        </w:tc>
      </w:tr>
      <w:tr w:rsidR="007A1E82" w:rsidRPr="00A9365E" w14:paraId="4881A3CC" w14:textId="77777777" w:rsidTr="04176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178B59E5" w14:textId="7EA261C7"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Tariff </w:t>
            </w:r>
            <w:r w:rsidR="4CD6E637" w:rsidRPr="06F10F4C">
              <w:rPr>
                <w:rFonts w:ascii="Tw Cen MT" w:hAnsi="Tw Cen MT" w:cs="Arial"/>
                <w:color w:val="000000" w:themeColor="text1"/>
                <w:lang w:val="en-US"/>
              </w:rPr>
              <w:t>a</w:t>
            </w:r>
            <w:r w:rsidRPr="06F10F4C">
              <w:rPr>
                <w:rFonts w:ascii="Tw Cen MT" w:hAnsi="Tw Cen MT" w:cs="Arial"/>
                <w:color w:val="000000" w:themeColor="text1"/>
                <w:lang w:val="en-US"/>
              </w:rPr>
              <w:t>djustments</w:t>
            </w:r>
          </w:p>
        </w:tc>
        <w:tc>
          <w:tcPr>
            <w:tcW w:w="1926" w:type="pct"/>
            <w:tcBorders>
              <w:top w:val="single" w:sz="8" w:space="0" w:color="000000" w:themeColor="text1"/>
              <w:bottom w:val="single" w:sz="8" w:space="0" w:color="000000" w:themeColor="text1"/>
              <w:right w:val="nil"/>
            </w:tcBorders>
            <w:shd w:val="clear" w:color="auto" w:fill="auto"/>
          </w:tcPr>
          <w:p w14:paraId="580453AC" w14:textId="7CF533EA" w:rsidR="007A1E82" w:rsidRPr="00A9365E" w:rsidRDefault="007A1E82" w:rsidP="0417647D">
            <w:pPr>
              <w:numPr>
                <w:ilvl w:val="0"/>
                <w:numId w:val="2"/>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417647D">
              <w:rPr>
                <w:rFonts w:ascii="Tw Cen MT" w:eastAsia="Interstate-Light" w:hAnsi="Tw Cen MT" w:cs="Arial"/>
                <w:color w:val="000000" w:themeColor="text1"/>
                <w:lang w:val="en-US"/>
              </w:rPr>
              <w:t xml:space="preserve">The Blended Tariff can be adjusted due to Market Conditions (e.g., inflation rate, </w:t>
            </w:r>
            <w:r w:rsidR="003B4257" w:rsidRPr="0417647D">
              <w:rPr>
                <w:rFonts w:ascii="Tw Cen MT" w:eastAsia="Interstate-Light" w:hAnsi="Tw Cen MT" w:cs="Arial"/>
                <w:color w:val="000000" w:themeColor="text1"/>
                <w:lang w:val="en-US"/>
              </w:rPr>
              <w:t>fossil-fuel</w:t>
            </w:r>
            <w:r w:rsidRPr="0417647D">
              <w:rPr>
                <w:rFonts w:ascii="Tw Cen MT" w:eastAsia="Interstate-Light" w:hAnsi="Tw Cen MT" w:cs="Arial"/>
                <w:color w:val="000000" w:themeColor="text1"/>
                <w:lang w:val="en-US"/>
              </w:rPr>
              <w:t xml:space="preserve"> price, foreign exchange rate) exceeding the acceptable thresholds as defined in the contract, or due to changes in the DisCo Grid Tariff. Market Conditions will be assessed </w:t>
            </w:r>
            <w:r w:rsidR="5EEA3BAE" w:rsidRPr="0417647D">
              <w:rPr>
                <w:rFonts w:ascii="Tw Cen MT" w:eastAsia="Interstate-Light" w:hAnsi="Tw Cen MT" w:cs="Arial"/>
                <w:color w:val="000000" w:themeColor="text1"/>
                <w:lang w:val="en-US"/>
              </w:rPr>
              <w:t xml:space="preserve">monthly. </w:t>
            </w:r>
          </w:p>
          <w:p w14:paraId="390AD124" w14:textId="1DC067C9" w:rsidR="007A1E82" w:rsidRPr="00A9365E" w:rsidRDefault="00850B48" w:rsidP="007A1E82">
            <w:pPr>
              <w:numPr>
                <w:ilvl w:val="0"/>
                <w:numId w:val="2"/>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Grid Tariff will be amended to pass through changes based on the </w:t>
            </w:r>
            <w:r w:rsidRPr="00A9365E">
              <w:rPr>
                <w:rFonts w:ascii="Tw Cen MT" w:eastAsia="Interstate-Light" w:hAnsi="Tw Cen MT" w:cs="Arial"/>
                <w:color w:val="000000" w:themeColor="text1"/>
                <w:lang w:val="en-US"/>
              </w:rPr>
              <w:t>utility</w:t>
            </w:r>
            <w:r w:rsidR="007A1E82" w:rsidRPr="00A9365E">
              <w:rPr>
                <w:rFonts w:ascii="Tw Cen MT" w:eastAsia="Interstate-Light" w:hAnsi="Tw Cen MT" w:cs="Arial"/>
                <w:color w:val="000000" w:themeColor="text1"/>
                <w:lang w:val="en-US"/>
              </w:rPr>
              <w:t xml:space="preserve"> MYTO tariff review process with the regulator.</w:t>
            </w:r>
          </w:p>
        </w:tc>
        <w:tc>
          <w:tcPr>
            <w:tcW w:w="2318" w:type="pct"/>
            <w:tcBorders>
              <w:top w:val="single" w:sz="8" w:space="0" w:color="000000" w:themeColor="text1"/>
              <w:bottom w:val="single" w:sz="8" w:space="0" w:color="000000" w:themeColor="text1"/>
              <w:right w:val="nil"/>
            </w:tcBorders>
            <w:shd w:val="clear" w:color="auto" w:fill="E1E7F0"/>
          </w:tcPr>
          <w:p w14:paraId="6F061BE1" w14:textId="1DC5F9B7" w:rsidR="007A1E82" w:rsidRPr="00A9365E" w:rsidRDefault="007A1E82"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Customers have </w:t>
            </w:r>
            <w:proofErr w:type="gramStart"/>
            <w:r w:rsidRPr="00A9365E">
              <w:rPr>
                <w:rFonts w:ascii="Tw Cen MT" w:hAnsi="Tw Cen MT" w:cs="Arial"/>
                <w:lang w:val="en-US"/>
              </w:rPr>
              <w:t>expressed</w:t>
            </w:r>
            <w:proofErr w:type="gramEnd"/>
            <w:r w:rsidRPr="00A9365E">
              <w:rPr>
                <w:rFonts w:ascii="Tw Cen MT" w:hAnsi="Tw Cen MT" w:cs="Arial"/>
                <w:lang w:val="en-US"/>
              </w:rPr>
              <w:t xml:space="preserve"> that electricity cost volatility significantly affects their business and is a primary factor in their decision-making process for supply options. At the same time, a lock-in tariff may hurt or be in favor of economics for the DER developer and the </w:t>
            </w:r>
            <w:r w:rsidR="00101C31" w:rsidRPr="00A9365E">
              <w:rPr>
                <w:rFonts w:ascii="Tw Cen MT" w:hAnsi="Tw Cen MT" w:cs="Arial"/>
                <w:lang w:val="en-US"/>
              </w:rPr>
              <w:t>utility</w:t>
            </w:r>
            <w:r w:rsidRPr="00A9365E">
              <w:rPr>
                <w:rFonts w:ascii="Tw Cen MT" w:hAnsi="Tw Cen MT" w:cs="Arial"/>
                <w:lang w:val="en-US"/>
              </w:rPr>
              <w:t xml:space="preserve">. For example, if the Blended Tariff remains the same but the </w:t>
            </w:r>
            <w:r w:rsidR="00101C31" w:rsidRPr="00A9365E">
              <w:rPr>
                <w:rFonts w:ascii="Tw Cen MT" w:hAnsi="Tw Cen MT" w:cs="Arial"/>
                <w:lang w:val="en-US"/>
              </w:rPr>
              <w:t>Utility</w:t>
            </w:r>
            <w:r w:rsidRPr="00A9365E">
              <w:rPr>
                <w:rFonts w:ascii="Tw Cen MT" w:hAnsi="Tw Cen MT" w:cs="Arial"/>
                <w:lang w:val="en-US"/>
              </w:rPr>
              <w:t xml:space="preserve"> Grid Tariff increases from MYTO review, it reduces the portion of the Blended Tariff that is returned to the DER developer.</w:t>
            </w:r>
          </w:p>
          <w:p w14:paraId="586883B8" w14:textId="77777777" w:rsidR="007A1E82" w:rsidRPr="00A9365E" w:rsidRDefault="007A1E82"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3C9202C9" w14:textId="77777777" w:rsidR="007A1E82" w:rsidRPr="00A9365E" w:rsidRDefault="007A1E82" w:rsidP="005E6F0E">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The intent of these adjustments is to provide a </w:t>
            </w:r>
            <w:r w:rsidRPr="00A9365E">
              <w:rPr>
                <w:rFonts w:ascii="Tw Cen MT" w:hAnsi="Tw Cen MT" w:cs="Arial"/>
                <w:b/>
                <w:bCs/>
                <w:lang w:val="en-US"/>
              </w:rPr>
              <w:t>transparent, structured</w:t>
            </w:r>
            <w:r w:rsidRPr="00A9365E">
              <w:rPr>
                <w:rFonts w:ascii="Tw Cen MT" w:hAnsi="Tw Cen MT" w:cs="Arial"/>
                <w:lang w:val="en-US"/>
              </w:rPr>
              <w:t xml:space="preserve"> way the Blended Tariff can and cannot be modified, to protect the interest of all three parties.</w:t>
            </w:r>
          </w:p>
        </w:tc>
      </w:tr>
      <w:tr w:rsidR="007A1E82" w:rsidRPr="00A9365E" w14:paraId="1A532861"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3075AD97"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t xml:space="preserve">Under-performance </w:t>
            </w:r>
          </w:p>
        </w:tc>
        <w:tc>
          <w:tcPr>
            <w:tcW w:w="1926" w:type="pct"/>
            <w:tcBorders>
              <w:top w:val="single" w:sz="8" w:space="0" w:color="000000" w:themeColor="text1"/>
              <w:bottom w:val="single" w:sz="8" w:space="0" w:color="000000" w:themeColor="text1"/>
              <w:right w:val="nil"/>
            </w:tcBorders>
            <w:shd w:val="clear" w:color="auto" w:fill="auto"/>
          </w:tcPr>
          <w:p w14:paraId="2D914396" w14:textId="636A0A93" w:rsidR="007A1E82" w:rsidRPr="00A9365E" w:rsidRDefault="36452F1A" w:rsidP="06F10F4C">
            <w:pPr>
              <w:numPr>
                <w:ilvl w:val="0"/>
                <w:numId w:val="2"/>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i/>
                <w:iCs/>
                <w:color w:val="000000" w:themeColor="text1"/>
                <w:lang w:val="en-US"/>
              </w:rPr>
            </w:pPr>
            <w:r w:rsidRPr="06F10F4C">
              <w:rPr>
                <w:rFonts w:ascii="Tw Cen MT" w:eastAsia="Interstate-Light" w:hAnsi="Tw Cen MT" w:cs="Arial"/>
                <w:color w:val="000000" w:themeColor="text1"/>
                <w:lang w:val="en-US"/>
              </w:rPr>
              <w:t xml:space="preserve">If </w:t>
            </w:r>
            <w:r w:rsidR="4D13932E" w:rsidRPr="06F10F4C">
              <w:rPr>
                <w:rFonts w:ascii="Tw Cen MT" w:eastAsia="Interstate-Light" w:hAnsi="Tw Cen MT" w:cs="Arial"/>
                <w:color w:val="000000" w:themeColor="text1"/>
                <w:lang w:val="en-US"/>
              </w:rPr>
              <w:t xml:space="preserve">the </w:t>
            </w:r>
            <w:r w:rsidRPr="06F10F4C">
              <w:rPr>
                <w:rFonts w:ascii="Tw Cen MT" w:eastAsia="Interstate-Light" w:hAnsi="Tw Cen MT" w:cs="Arial"/>
                <w:color w:val="000000" w:themeColor="text1"/>
                <w:lang w:val="en-US"/>
              </w:rPr>
              <w:t xml:space="preserve">DER developer fails to meet the minimum supply during its priority hours, </w:t>
            </w:r>
            <w:r w:rsidRPr="06F10F4C">
              <w:rPr>
                <w:rFonts w:ascii="Tw Cen MT" w:eastAsia="Interstate-Light" w:hAnsi="Tw Cen MT" w:cs="Arial"/>
                <w:color w:val="000000" w:themeColor="text1"/>
                <w:lang w:val="en-US" w:eastAsia="zh-CN"/>
              </w:rPr>
              <w:t xml:space="preserve">the developer shall pay the customer </w:t>
            </w:r>
            <w:r w:rsidRPr="06F10F4C">
              <w:rPr>
                <w:rFonts w:ascii="Tw Cen MT" w:eastAsia="Interstate-Light" w:hAnsi="Tw Cen MT" w:cs="Arial"/>
                <w:b/>
                <w:bCs/>
                <w:color w:val="000000" w:themeColor="text1"/>
                <w:lang w:val="en-US" w:eastAsia="zh-CN"/>
              </w:rPr>
              <w:t>liquidated damages</w:t>
            </w:r>
            <w:r w:rsidRPr="06F10F4C">
              <w:rPr>
                <w:rFonts w:ascii="Tw Cen MT" w:eastAsia="Interstate-Light" w:hAnsi="Tw Cen MT" w:cs="Arial"/>
                <w:color w:val="000000" w:themeColor="text1"/>
                <w:lang w:val="en-US" w:eastAsia="zh-CN"/>
              </w:rPr>
              <w:t xml:space="preserve"> based on actual performance </w:t>
            </w:r>
            <w:r w:rsidRPr="06F10F4C">
              <w:rPr>
                <w:rFonts w:ascii="Tw Cen MT" w:eastAsia="Interstate-Light" w:hAnsi="Tw Cen MT" w:cs="Arial"/>
                <w:i/>
                <w:iCs/>
                <w:color w:val="000000" w:themeColor="text1"/>
                <w:lang w:val="en-US" w:eastAsia="zh-CN"/>
              </w:rPr>
              <w:t>(details are defined in the contract)</w:t>
            </w:r>
          </w:p>
          <w:p w14:paraId="38DAA124" w14:textId="4530EA76" w:rsidR="007A1E82" w:rsidRPr="00A9365E" w:rsidRDefault="007A1E82" w:rsidP="007A1E82">
            <w:pPr>
              <w:numPr>
                <w:ilvl w:val="0"/>
                <w:numId w:val="2"/>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w:t>
            </w:r>
            <w:r w:rsidR="00F5101A">
              <w:rPr>
                <w:rFonts w:ascii="Tw Cen MT" w:eastAsia="Interstate-Light" w:hAnsi="Tw Cen MT" w:cs="Arial"/>
                <w:color w:val="000000" w:themeColor="text1"/>
                <w:lang w:val="en-US"/>
              </w:rPr>
              <w:t xml:space="preserve">the </w:t>
            </w:r>
            <w:r w:rsidR="00101C3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fails to meet the minimum grid availability, the </w:t>
            </w:r>
            <w:r w:rsidR="007C6B8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will be liable to pay the DER developer the </w:t>
            </w:r>
            <w:r w:rsidRPr="00A9365E">
              <w:rPr>
                <w:rFonts w:ascii="Tw Cen MT" w:eastAsia="Interstate-Light" w:hAnsi="Tw Cen MT" w:cs="Arial"/>
                <w:b/>
                <w:bCs/>
                <w:color w:val="000000" w:themeColor="text1"/>
                <w:lang w:val="en-US"/>
              </w:rPr>
              <w:t>Recoverable Expenditure</w:t>
            </w:r>
            <w:r w:rsidRPr="00A9365E">
              <w:rPr>
                <w:rFonts w:ascii="Tw Cen MT" w:eastAsia="Interstate-Light" w:hAnsi="Tw Cen MT" w:cs="Arial"/>
                <w:color w:val="000000" w:themeColor="text1"/>
                <w:lang w:val="en-US"/>
              </w:rPr>
              <w:t xml:space="preserve">, which equals the grid electricity supply discrepancy multiplying either </w:t>
            </w:r>
            <w:r w:rsidR="00101C3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Premium Fee or Extraordinary Backup Tariff (detailed clauses are included in different versions of the template for reference)</w:t>
            </w:r>
          </w:p>
          <w:p w14:paraId="3664BF24" w14:textId="4E34DE62" w:rsidR="007A1E82" w:rsidRPr="00A9365E" w:rsidRDefault="007A1E82" w:rsidP="007A1E82">
            <w:pPr>
              <w:numPr>
                <w:ilvl w:val="1"/>
                <w:numId w:val="2"/>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Extraordinary Backup Tariff is the tariff the DER developer will charge per kWh, reflecting the added </w:t>
            </w:r>
            <w:r w:rsidR="00A86495" w:rsidRPr="00A9365E">
              <w:rPr>
                <w:rFonts w:ascii="Tw Cen MT" w:eastAsia="Interstate-Light" w:hAnsi="Tw Cen MT" w:cs="Arial"/>
                <w:color w:val="000000" w:themeColor="text1"/>
                <w:lang w:val="en-US"/>
              </w:rPr>
              <w:lastRenderedPageBreak/>
              <w:t>fossil-fuel</w:t>
            </w:r>
            <w:r w:rsidRPr="00A9365E">
              <w:rPr>
                <w:rFonts w:ascii="Tw Cen MT" w:eastAsia="Interstate-Light" w:hAnsi="Tw Cen MT" w:cs="Arial"/>
                <w:color w:val="000000" w:themeColor="text1"/>
                <w:lang w:val="en-US"/>
              </w:rPr>
              <w:t xml:space="preserve"> cost </w:t>
            </w:r>
            <w:r w:rsidR="00517733">
              <w:rPr>
                <w:rFonts w:ascii="Tw Cen MT" w:eastAsia="Interstate-Light" w:hAnsi="Tw Cen MT" w:cs="Arial"/>
                <w:color w:val="000000" w:themeColor="text1"/>
                <w:lang w:val="en-US"/>
              </w:rPr>
              <w:t xml:space="preserve">of </w:t>
            </w:r>
            <w:r w:rsidRPr="00A9365E">
              <w:rPr>
                <w:rFonts w:ascii="Tw Cen MT" w:eastAsia="Interstate-Light" w:hAnsi="Tw Cen MT" w:cs="Arial"/>
                <w:color w:val="000000" w:themeColor="text1"/>
                <w:lang w:val="en-US"/>
              </w:rPr>
              <w:t xml:space="preserve">running backup generation in </w:t>
            </w:r>
            <w:r w:rsidR="00517733">
              <w:rPr>
                <w:rFonts w:ascii="Tw Cen MT" w:eastAsia="Interstate-Light" w:hAnsi="Tw Cen MT" w:cs="Arial"/>
                <w:color w:val="000000" w:themeColor="text1"/>
                <w:lang w:val="en-US"/>
              </w:rPr>
              <w:t xml:space="preserve">the </w:t>
            </w:r>
            <w:r w:rsidRPr="00A9365E">
              <w:rPr>
                <w:rFonts w:ascii="Tw Cen MT" w:eastAsia="Interstate-Light" w:hAnsi="Tw Cen MT" w:cs="Arial"/>
                <w:color w:val="000000" w:themeColor="text1"/>
                <w:lang w:val="en-US"/>
              </w:rPr>
              <w:t xml:space="preserve">absence of grid supply. This is suitable for projects where the developer is investing in and managing (new) backup generation </w:t>
            </w:r>
            <w:r w:rsidR="00B37483" w:rsidRPr="00A9365E">
              <w:rPr>
                <w:rFonts w:ascii="Tw Cen MT" w:eastAsia="Interstate-Light" w:hAnsi="Tw Cen MT" w:cs="Arial"/>
                <w:color w:val="000000" w:themeColor="text1"/>
                <w:lang w:val="en-US"/>
              </w:rPr>
              <w:t>assets and</w:t>
            </w:r>
            <w:r w:rsidRPr="00A9365E">
              <w:rPr>
                <w:rFonts w:ascii="Tw Cen MT" w:eastAsia="Interstate-Light" w:hAnsi="Tw Cen MT" w:cs="Arial"/>
                <w:color w:val="000000" w:themeColor="text1"/>
                <w:lang w:val="en-US"/>
              </w:rPr>
              <w:t xml:space="preserve"> anticipating significant </w:t>
            </w:r>
            <w:r w:rsidR="003B4257" w:rsidRPr="00A9365E">
              <w:rPr>
                <w:rFonts w:ascii="Tw Cen MT" w:eastAsia="Interstate-Light" w:hAnsi="Tw Cen MT" w:cs="Arial"/>
                <w:color w:val="000000" w:themeColor="text1"/>
                <w:lang w:val="en-US"/>
              </w:rPr>
              <w:t>fossil-fuel</w:t>
            </w:r>
            <w:r w:rsidRPr="00A9365E">
              <w:rPr>
                <w:rFonts w:ascii="Tw Cen MT" w:eastAsia="Interstate-Light" w:hAnsi="Tw Cen MT" w:cs="Arial"/>
                <w:color w:val="000000" w:themeColor="text1"/>
                <w:lang w:val="en-US"/>
              </w:rPr>
              <w:t xml:space="preserve"> consumption.</w:t>
            </w:r>
          </w:p>
          <w:p w14:paraId="5205927B" w14:textId="47B95319" w:rsidR="007A1E82" w:rsidRPr="00A9365E" w:rsidRDefault="36452F1A" w:rsidP="007A1E82">
            <w:pPr>
              <w:numPr>
                <w:ilvl w:val="1"/>
                <w:numId w:val="2"/>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77D5A967">
              <w:rPr>
                <w:rFonts w:ascii="Tw Cen MT" w:eastAsia="Interstate-Light" w:hAnsi="Tw Cen MT" w:cs="Arial"/>
                <w:color w:val="000000" w:themeColor="text1"/>
                <w:lang w:val="en-US"/>
              </w:rPr>
              <w:t xml:space="preserve">The Premium Fee is introduced to incentivize </w:t>
            </w:r>
            <w:r w:rsidR="406DD695" w:rsidRPr="77D5A967">
              <w:rPr>
                <w:rFonts w:ascii="Tw Cen MT" w:eastAsia="Interstate-Light" w:hAnsi="Tw Cen MT" w:cs="Arial"/>
                <w:color w:val="000000" w:themeColor="text1"/>
                <w:lang w:val="en-US"/>
              </w:rPr>
              <w:t>utility</w:t>
            </w:r>
            <w:r w:rsidRPr="77D5A967">
              <w:rPr>
                <w:rFonts w:ascii="Tw Cen MT" w:eastAsia="Interstate-Light" w:hAnsi="Tw Cen MT" w:cs="Arial"/>
                <w:color w:val="000000" w:themeColor="text1"/>
                <w:lang w:val="en-US"/>
              </w:rPr>
              <w:t xml:space="preserve"> to improve service for the customer and support them to recoup grid upgrade costs. In case of underperformance, those incentives would be deducted accordingly. This is suitable for projects where the customer is maintaining their existing genset</w:t>
            </w:r>
            <w:r w:rsidR="35DC2CE2" w:rsidRPr="77D5A967">
              <w:rPr>
                <w:rFonts w:ascii="Tw Cen MT" w:eastAsia="Interstate-Light" w:hAnsi="Tw Cen MT" w:cs="Arial"/>
                <w:color w:val="000000" w:themeColor="text1"/>
                <w:lang w:val="en-US"/>
              </w:rPr>
              <w:t xml:space="preserve"> or the </w:t>
            </w:r>
            <w:r w:rsidR="0D6645A1" w:rsidRPr="77D5A967">
              <w:rPr>
                <w:rFonts w:ascii="Tw Cen MT" w:eastAsia="Interstate-Light" w:hAnsi="Tw Cen MT" w:cs="Arial"/>
                <w:color w:val="000000" w:themeColor="text1"/>
                <w:lang w:val="en-US"/>
              </w:rPr>
              <w:t xml:space="preserve">proposed </w:t>
            </w:r>
            <w:r w:rsidR="35DC2CE2" w:rsidRPr="77D5A967">
              <w:rPr>
                <w:rFonts w:ascii="Tw Cen MT" w:eastAsia="Interstate-Light" w:hAnsi="Tw Cen MT" w:cs="Arial"/>
                <w:color w:val="000000" w:themeColor="text1"/>
                <w:lang w:val="en-US"/>
              </w:rPr>
              <w:t>utility agreed availability is</w:t>
            </w:r>
            <w:r w:rsidR="4030F8D6" w:rsidRPr="77D5A967">
              <w:rPr>
                <w:rFonts w:ascii="Tw Cen MT" w:eastAsia="Interstate-Light" w:hAnsi="Tw Cen MT" w:cs="Arial"/>
                <w:color w:val="000000" w:themeColor="text1"/>
                <w:lang w:val="en-US"/>
              </w:rPr>
              <w:t xml:space="preserve"> below 60% of the </w:t>
            </w:r>
            <w:r w:rsidR="46E48E7D" w:rsidRPr="77D5A967">
              <w:rPr>
                <w:rFonts w:ascii="Tw Cen MT" w:eastAsia="Interstate-Light" w:hAnsi="Tw Cen MT" w:cs="Arial"/>
                <w:color w:val="000000" w:themeColor="text1"/>
                <w:lang w:val="en-US"/>
              </w:rPr>
              <w:t xml:space="preserve">ideal </w:t>
            </w:r>
            <w:r w:rsidR="4030F8D6" w:rsidRPr="77D5A967">
              <w:rPr>
                <w:rFonts w:ascii="Tw Cen MT" w:eastAsia="Interstate-Light" w:hAnsi="Tw Cen MT" w:cs="Arial"/>
                <w:color w:val="000000" w:themeColor="text1"/>
                <w:lang w:val="en-US"/>
              </w:rPr>
              <w:t>prio</w:t>
            </w:r>
            <w:r w:rsidR="1C573CCA" w:rsidRPr="77D5A967">
              <w:rPr>
                <w:rFonts w:ascii="Tw Cen MT" w:eastAsia="Interstate-Light" w:hAnsi="Tw Cen MT" w:cs="Arial"/>
                <w:color w:val="000000" w:themeColor="text1"/>
                <w:lang w:val="en-US"/>
              </w:rPr>
              <w:t>rity</w:t>
            </w:r>
            <w:r w:rsidR="4030F8D6" w:rsidRPr="77D5A967">
              <w:rPr>
                <w:rFonts w:ascii="Tw Cen MT" w:eastAsia="Interstate-Light" w:hAnsi="Tw Cen MT" w:cs="Arial"/>
                <w:color w:val="000000" w:themeColor="text1"/>
                <w:lang w:val="en-US"/>
              </w:rPr>
              <w:t xml:space="preserve"> grid hours</w:t>
            </w:r>
            <w:r w:rsidR="50BD428A" w:rsidRPr="77D5A967">
              <w:rPr>
                <w:rFonts w:ascii="Tw Cen MT" w:eastAsia="Interstate-Light" w:hAnsi="Tw Cen MT" w:cs="Arial"/>
                <w:color w:val="000000" w:themeColor="text1"/>
                <w:lang w:val="en-US"/>
              </w:rPr>
              <w:t>.</w:t>
            </w:r>
          </w:p>
          <w:p w14:paraId="3AD160AF" w14:textId="77777777" w:rsidR="007A1E82" w:rsidRPr="00A9365E" w:rsidRDefault="007A1E82" w:rsidP="007A1E82">
            <w:pPr>
              <w:numPr>
                <w:ilvl w:val="1"/>
                <w:numId w:val="2"/>
              </w:numPr>
              <w:spacing w:before="60" w:after="60"/>
              <w:ind w:left="606" w:hanging="27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Recoverable Expenditure will be subtracted from the total amount the DER developer owes the DisCo for electricity supplied from the grid.</w:t>
            </w:r>
          </w:p>
          <w:p w14:paraId="0D76F7EA" w14:textId="67970D2E" w:rsidR="007A1E82" w:rsidRPr="00A9365E" w:rsidRDefault="007A1E82" w:rsidP="007A1E82">
            <w:pPr>
              <w:pStyle w:val="ListParagraph"/>
              <w:numPr>
                <w:ilvl w:val="0"/>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eastAsia="Interstate-Light" w:cs="Arial"/>
                <w:color w:val="000000" w:themeColor="text1"/>
                <w:lang w:val="en-US"/>
              </w:rPr>
            </w:pPr>
            <w:r w:rsidRPr="00A9365E">
              <w:rPr>
                <w:rFonts w:eastAsia="Interstate-Light" w:cs="Arial"/>
                <w:color w:val="000000" w:themeColor="text1"/>
                <w:lang w:val="en-US"/>
              </w:rPr>
              <w:t>The DER developer will provide backup when the grid fails, to ensure high overall reliability to the customer.</w:t>
            </w:r>
          </w:p>
        </w:tc>
        <w:tc>
          <w:tcPr>
            <w:tcW w:w="2318" w:type="pct"/>
            <w:tcBorders>
              <w:top w:val="single" w:sz="8" w:space="0" w:color="000000" w:themeColor="text1"/>
              <w:bottom w:val="single" w:sz="8" w:space="0" w:color="000000" w:themeColor="text1"/>
              <w:right w:val="nil"/>
            </w:tcBorders>
            <w:shd w:val="clear" w:color="auto" w:fill="E1E7F0"/>
          </w:tcPr>
          <w:p w14:paraId="2811736C" w14:textId="79E09A73" w:rsidR="007A1E82" w:rsidRPr="00A9365E" w:rsidRDefault="007A1E82" w:rsidP="005E6F0E">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lastRenderedPageBreak/>
              <w:t xml:space="preserve">The DER developer is sizing the DER system based on the assumed DER Priority Hours where it will need to supply the C&amp;I customer, as well as the amount of time it will need to back up the grid supply. If the DER developer is required to back up the grid supply for more time than initially expected, that likely requires the DER developer to run expensive </w:t>
            </w:r>
            <w:r w:rsidR="003B4257" w:rsidRPr="00A9365E">
              <w:rPr>
                <w:rFonts w:ascii="Tw Cen MT" w:hAnsi="Tw Cen MT" w:cs="Arial"/>
                <w:lang w:val="en-US"/>
              </w:rPr>
              <w:t>fossil-fuel</w:t>
            </w:r>
            <w:r w:rsidRPr="00A9365E">
              <w:rPr>
                <w:rFonts w:ascii="Tw Cen MT" w:hAnsi="Tw Cen MT" w:cs="Arial"/>
                <w:lang w:val="en-US"/>
              </w:rPr>
              <w:t xml:space="preserve"> generators. This places an undue financial burden on the DER developer. The calculated Recoverable Expenditure offers the parties a way to easily and systematically resolve this when it’s a once-in-a-while occurrence</w:t>
            </w:r>
            <w:r w:rsidR="00235BFC" w:rsidRPr="00A9365E">
              <w:rPr>
                <w:rFonts w:ascii="Tw Cen MT" w:hAnsi="Tw Cen MT" w:cs="Arial"/>
                <w:lang w:val="en-US"/>
              </w:rPr>
              <w:t>.</w:t>
            </w:r>
            <w:r w:rsidRPr="00A9365E">
              <w:rPr>
                <w:rFonts w:ascii="Tw Cen MT" w:hAnsi="Tw Cen MT" w:cs="Arial"/>
                <w:lang w:val="en-US"/>
              </w:rPr>
              <w:t xml:space="preserve"> The amount shouldn’t be significant as the grid availability standard is pre-aligned with </w:t>
            </w:r>
            <w:r w:rsidR="00101C31" w:rsidRPr="00A9365E">
              <w:rPr>
                <w:rFonts w:ascii="Tw Cen MT" w:hAnsi="Tw Cen MT" w:cs="Arial"/>
                <w:lang w:val="en-US"/>
              </w:rPr>
              <w:t>utility</w:t>
            </w:r>
            <w:r w:rsidR="00A764B9" w:rsidRPr="00A9365E">
              <w:rPr>
                <w:rFonts w:ascii="Tw Cen MT" w:hAnsi="Tw Cen MT" w:cs="Arial"/>
                <w:lang w:val="en-US"/>
              </w:rPr>
              <w:t xml:space="preserve">. </w:t>
            </w:r>
            <w:r w:rsidR="00985792" w:rsidRPr="00A9365E">
              <w:rPr>
                <w:rFonts w:ascii="Tw Cen MT" w:hAnsi="Tw Cen MT" w:cs="Arial"/>
                <w:lang w:val="en-US"/>
              </w:rPr>
              <w:t xml:space="preserve">The </w:t>
            </w:r>
            <w:r w:rsidR="00101C31" w:rsidRPr="00A9365E">
              <w:rPr>
                <w:rFonts w:ascii="Tw Cen MT" w:hAnsi="Tw Cen MT" w:cs="Arial"/>
                <w:lang w:val="en-US"/>
              </w:rPr>
              <w:t>utility</w:t>
            </w:r>
            <w:r w:rsidRPr="00A9365E">
              <w:rPr>
                <w:rFonts w:ascii="Tw Cen MT" w:hAnsi="Tw Cen MT" w:cs="Arial"/>
                <w:lang w:val="en-US"/>
              </w:rPr>
              <w:t xml:space="preserve"> </w:t>
            </w:r>
            <w:r w:rsidR="00985792" w:rsidRPr="00A9365E">
              <w:rPr>
                <w:rFonts w:ascii="Tw Cen MT" w:hAnsi="Tw Cen MT" w:cs="Arial"/>
                <w:lang w:val="en-US"/>
              </w:rPr>
              <w:t>is required to</w:t>
            </w:r>
            <w:r w:rsidRPr="00A9365E">
              <w:rPr>
                <w:rFonts w:ascii="Tw Cen MT" w:hAnsi="Tw Cen MT" w:cs="Arial"/>
                <w:lang w:val="en-US"/>
              </w:rPr>
              <w:t xml:space="preserve"> come up with “minimum” hours th</w:t>
            </w:r>
            <w:r w:rsidR="00985792" w:rsidRPr="00A9365E">
              <w:rPr>
                <w:rFonts w:ascii="Tw Cen MT" w:hAnsi="Tw Cen MT" w:cs="Arial"/>
                <w:lang w:val="en-US"/>
              </w:rPr>
              <w:t xml:space="preserve">ey can </w:t>
            </w:r>
            <w:r w:rsidRPr="00A9365E">
              <w:rPr>
                <w:rFonts w:ascii="Tw Cen MT" w:hAnsi="Tw Cen MT" w:cs="Arial"/>
                <w:lang w:val="en-US"/>
              </w:rPr>
              <w:t xml:space="preserve">guarantee </w:t>
            </w:r>
            <w:r w:rsidR="00985792" w:rsidRPr="00A9365E">
              <w:rPr>
                <w:rFonts w:ascii="Tw Cen MT" w:hAnsi="Tw Cen MT" w:cs="Arial"/>
                <w:lang w:val="en-US"/>
              </w:rPr>
              <w:t xml:space="preserve">which </w:t>
            </w:r>
            <w:r w:rsidR="001B2144" w:rsidRPr="00A9365E">
              <w:rPr>
                <w:rFonts w:ascii="Tw Cen MT" w:hAnsi="Tw Cen MT" w:cs="Arial"/>
                <w:lang w:val="en-US"/>
              </w:rPr>
              <w:t>supply</w:t>
            </w:r>
            <w:r w:rsidRPr="00A9365E">
              <w:rPr>
                <w:rFonts w:ascii="Tw Cen MT" w:hAnsi="Tw Cen MT" w:cs="Arial"/>
                <w:lang w:val="en-US"/>
              </w:rPr>
              <w:t xml:space="preserve"> and have incorporated it into system design.</w:t>
            </w:r>
          </w:p>
          <w:p w14:paraId="4085BE8A" w14:textId="77777777" w:rsidR="007A1E82" w:rsidRPr="00A9365E" w:rsidRDefault="007A1E82" w:rsidP="005E6F0E">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1C8CDE9A" w14:textId="3D163756" w:rsidR="006F1C9B" w:rsidRPr="00A9365E" w:rsidRDefault="007A1E82" w:rsidP="00E165A0">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A9365E">
              <w:rPr>
                <w:rFonts w:ascii="Tw Cen MT" w:hAnsi="Tw Cen MT" w:cs="Arial"/>
                <w:lang w:val="en-US"/>
              </w:rPr>
              <w:lastRenderedPageBreak/>
              <w:t xml:space="preserve">These clauses are designed to protect both the </w:t>
            </w:r>
            <w:r w:rsidR="00101C31" w:rsidRPr="00A9365E">
              <w:rPr>
                <w:rFonts w:ascii="Tw Cen MT" w:hAnsi="Tw Cen MT" w:cs="Arial"/>
                <w:lang w:val="en-US"/>
              </w:rPr>
              <w:t>utility</w:t>
            </w:r>
            <w:r w:rsidRPr="00A9365E">
              <w:rPr>
                <w:rFonts w:ascii="Tw Cen MT" w:hAnsi="Tw Cen MT" w:cs="Arial"/>
                <w:lang w:val="en-US"/>
              </w:rPr>
              <w:t xml:space="preserve"> and the DER developer</w:t>
            </w:r>
            <w:r w:rsidR="00390F04" w:rsidRPr="00A9365E">
              <w:rPr>
                <w:rFonts w:ascii="Tw Cen MT" w:hAnsi="Tw Cen MT" w:cs="Arial"/>
                <w:lang w:val="en-US"/>
              </w:rPr>
              <w:t xml:space="preserve"> in case of under-performance</w:t>
            </w:r>
            <w:r w:rsidRPr="00A9365E">
              <w:rPr>
                <w:rFonts w:ascii="Tw Cen MT" w:hAnsi="Tw Cen MT" w:cs="Arial"/>
                <w:lang w:val="en-US"/>
              </w:rPr>
              <w:t xml:space="preserve">. If the </w:t>
            </w:r>
            <w:r w:rsidR="007C6B81" w:rsidRPr="00A9365E">
              <w:rPr>
                <w:rFonts w:ascii="Tw Cen MT" w:hAnsi="Tw Cen MT" w:cs="Arial"/>
                <w:lang w:val="en-US"/>
              </w:rPr>
              <w:t>util</w:t>
            </w:r>
            <w:r w:rsidR="007C6B81" w:rsidRPr="00A9365E">
              <w:rPr>
                <w:rFonts w:ascii="Tw Cen MT" w:hAnsi="Tw Cen MT" w:cs="Arial"/>
              </w:rPr>
              <w:t>ity</w:t>
            </w:r>
            <w:r w:rsidRPr="00A9365E">
              <w:rPr>
                <w:rFonts w:ascii="Tw Cen MT" w:hAnsi="Tw Cen MT" w:cs="Arial"/>
                <w:lang w:val="en-US"/>
              </w:rPr>
              <w:t xml:space="preserve"> is not meeting its Grid Availability Standard, it owes the DER developer for excess electricity the DER developer </w:t>
            </w:r>
            <w:r w:rsidR="00390F04" w:rsidRPr="00A9365E">
              <w:rPr>
                <w:rFonts w:ascii="Tw Cen MT" w:hAnsi="Tw Cen MT" w:cs="Arial"/>
                <w:lang w:val="en-US"/>
              </w:rPr>
              <w:t>is forced to generate via more expensive sources</w:t>
            </w:r>
            <w:r w:rsidRPr="00A9365E">
              <w:rPr>
                <w:rFonts w:ascii="Tw Cen MT" w:hAnsi="Tw Cen MT" w:cs="Arial"/>
                <w:lang w:val="en-US"/>
              </w:rPr>
              <w:t xml:space="preserve">. If this persists, the </w:t>
            </w:r>
            <w:r w:rsidR="007C6B81" w:rsidRPr="00A9365E">
              <w:rPr>
                <w:rFonts w:ascii="Tw Cen MT" w:hAnsi="Tw Cen MT" w:cs="Arial"/>
                <w:lang w:val="en-US"/>
              </w:rPr>
              <w:t>utility</w:t>
            </w:r>
            <w:r w:rsidRPr="00A9365E">
              <w:rPr>
                <w:rFonts w:ascii="Tw Cen MT" w:hAnsi="Tw Cen MT" w:cs="Arial"/>
                <w:lang w:val="en-US"/>
              </w:rPr>
              <w:t xml:space="preserve"> could owe the DER developer more than the DER developer owes the </w:t>
            </w:r>
            <w:r w:rsidR="007C6B81" w:rsidRPr="00A9365E">
              <w:rPr>
                <w:rFonts w:ascii="Tw Cen MT" w:hAnsi="Tw Cen MT" w:cs="Arial"/>
                <w:lang w:val="en-US"/>
              </w:rPr>
              <w:t>utility</w:t>
            </w:r>
            <w:r w:rsidRPr="00A9365E">
              <w:rPr>
                <w:rFonts w:ascii="Tw Cen MT" w:hAnsi="Tw Cen MT" w:cs="Arial"/>
                <w:lang w:val="en-US"/>
              </w:rPr>
              <w:t xml:space="preserve"> for electricity it supplies, which will then trigger project termination</w:t>
            </w:r>
            <w:r w:rsidR="00535FBB" w:rsidRPr="00A9365E">
              <w:rPr>
                <w:rFonts w:ascii="Tw Cen MT" w:hAnsi="Tw Cen MT" w:cs="Arial"/>
                <w:lang w:val="en-US"/>
              </w:rPr>
              <w:t xml:space="preserve"> as defined </w:t>
            </w:r>
            <w:r w:rsidR="0018056F" w:rsidRPr="00A9365E">
              <w:rPr>
                <w:rFonts w:ascii="Tw Cen MT" w:hAnsi="Tw Cen MT" w:cs="Arial"/>
                <w:lang w:val="en-US"/>
              </w:rPr>
              <w:t xml:space="preserve">draft </w:t>
            </w:r>
            <w:r w:rsidR="00FB514A" w:rsidRPr="00A9365E">
              <w:rPr>
                <w:rFonts w:ascii="Tw Cen MT" w:hAnsi="Tw Cen MT" w:cs="Arial"/>
                <w:lang w:val="en-US"/>
              </w:rPr>
              <w:t>contract</w:t>
            </w:r>
            <w:r w:rsidRPr="00A9365E">
              <w:rPr>
                <w:rFonts w:ascii="Tw Cen MT" w:hAnsi="Tw Cen MT" w:cs="Arial"/>
                <w:lang w:val="en-US"/>
              </w:rPr>
              <w:t>.</w:t>
            </w:r>
            <w:r w:rsidR="00BF49AE" w:rsidRPr="00A9365E">
              <w:rPr>
                <w:rFonts w:ascii="Tw Cen MT" w:hAnsi="Tw Cen MT" w:cs="Arial"/>
                <w:lang w:val="en-US"/>
              </w:rPr>
              <w:t xml:space="preserve"> Both parties will agree on the duration </w:t>
            </w:r>
            <w:r w:rsidR="00FB514A" w:rsidRPr="00A9365E">
              <w:rPr>
                <w:rFonts w:ascii="Tw Cen MT" w:hAnsi="Tw Cen MT" w:cs="Arial"/>
                <w:lang w:val="en-US"/>
              </w:rPr>
              <w:t xml:space="preserve">to settle payment debts. The </w:t>
            </w:r>
            <w:r w:rsidR="0020580C">
              <w:rPr>
                <w:rFonts w:ascii="Tw Cen MT" w:hAnsi="Tw Cen MT" w:cs="Arial"/>
                <w:lang w:val="en-US"/>
              </w:rPr>
              <w:t>recommended</w:t>
            </w:r>
            <w:r w:rsidR="00FB514A" w:rsidRPr="00A9365E">
              <w:rPr>
                <w:rFonts w:ascii="Tw Cen MT" w:hAnsi="Tw Cen MT" w:cs="Arial"/>
                <w:lang w:val="en-US"/>
              </w:rPr>
              <w:t xml:space="preserve"> duration in the draft contract will be 60 days.</w:t>
            </w:r>
          </w:p>
          <w:p w14:paraId="31BDA9A2" w14:textId="77777777" w:rsidR="006F1C9B" w:rsidRPr="00A9365E" w:rsidRDefault="006F1C9B" w:rsidP="00E165A0">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1740FA46" w14:textId="5461ABAE" w:rsidR="007A1E82" w:rsidRPr="00A9365E" w:rsidRDefault="36452F1A"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2F9A98E0">
              <w:rPr>
                <w:rFonts w:ascii="Tw Cen MT" w:hAnsi="Tw Cen MT" w:cs="Arial"/>
                <w:lang w:val="en-US"/>
              </w:rPr>
              <w:t xml:space="preserve">This protects the DER developer from being owed money by the </w:t>
            </w:r>
            <w:r w:rsidR="2037D62F" w:rsidRPr="2F9A98E0">
              <w:rPr>
                <w:rFonts w:ascii="Tw Cen MT" w:hAnsi="Tw Cen MT" w:cs="Arial"/>
                <w:lang w:val="en-US"/>
              </w:rPr>
              <w:t>utility</w:t>
            </w:r>
            <w:r w:rsidRPr="2F9A98E0">
              <w:rPr>
                <w:rFonts w:ascii="Tw Cen MT" w:hAnsi="Tw Cen MT" w:cs="Arial"/>
                <w:lang w:val="en-US"/>
              </w:rPr>
              <w:t xml:space="preserve">. This also protects the </w:t>
            </w:r>
            <w:r w:rsidR="2037D62F" w:rsidRPr="2F9A98E0">
              <w:rPr>
                <w:rFonts w:ascii="Tw Cen MT" w:hAnsi="Tw Cen MT" w:cs="Arial"/>
                <w:lang w:val="en-US"/>
              </w:rPr>
              <w:t>utility</w:t>
            </w:r>
            <w:r w:rsidRPr="2F9A98E0">
              <w:rPr>
                <w:rFonts w:ascii="Tw Cen MT" w:hAnsi="Tw Cen MT" w:cs="Arial"/>
                <w:lang w:val="en-US"/>
              </w:rPr>
              <w:t xml:space="preserve"> from racking up debt to the DER developer without a clea</w:t>
            </w:r>
            <w:r w:rsidR="47C18455" w:rsidRPr="2F9A98E0">
              <w:rPr>
                <w:rFonts w:ascii="Tw Cen MT" w:hAnsi="Tw Cen MT" w:cs="Arial"/>
                <w:lang w:val="en-US"/>
              </w:rPr>
              <w:t xml:space="preserve">r ability </w:t>
            </w:r>
            <w:r w:rsidR="5D6E85B1" w:rsidRPr="2F9A98E0">
              <w:rPr>
                <w:rFonts w:ascii="Tw Cen MT" w:hAnsi="Tw Cen MT" w:cs="Arial"/>
                <w:lang w:val="en-US"/>
              </w:rPr>
              <w:t>to repay the debt</w:t>
            </w:r>
            <w:r w:rsidRPr="2F9A98E0">
              <w:rPr>
                <w:rFonts w:ascii="Tw Cen MT" w:hAnsi="Tw Cen MT" w:cs="Arial"/>
                <w:lang w:val="en-US"/>
              </w:rPr>
              <w:t>.</w:t>
            </w:r>
          </w:p>
          <w:p w14:paraId="3B828401" w14:textId="5BB2B9BF" w:rsidR="007A1E82" w:rsidRPr="00A9365E" w:rsidRDefault="007A1E82"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066DEEAC" w14:textId="77777777" w:rsidR="007A1E82" w:rsidRDefault="33B7572C"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6F10F4C">
              <w:rPr>
                <w:rFonts w:ascii="Tw Cen MT" w:hAnsi="Tw Cen MT" w:cs="Arial"/>
                <w:lang w:val="en-US"/>
              </w:rPr>
              <w:t xml:space="preserve">Developer meeting the customer supply can be determined over 3 months </w:t>
            </w:r>
            <w:r w:rsidR="3999BB6E" w:rsidRPr="06F10F4C">
              <w:rPr>
                <w:rFonts w:ascii="Tw Cen MT" w:hAnsi="Tw Cen MT" w:cs="Arial"/>
                <w:lang w:val="en-US"/>
              </w:rPr>
              <w:t xml:space="preserve">period, which can be adjusted based on the customer expectation of the </w:t>
            </w:r>
            <w:r w:rsidR="7AF4D63C" w:rsidRPr="06F10F4C">
              <w:rPr>
                <w:rFonts w:ascii="Tw Cen MT" w:hAnsi="Tw Cen MT" w:cs="Arial"/>
                <w:lang w:val="en-US"/>
              </w:rPr>
              <w:t>DER. The DER will pay liquidated damages based on the table below and the</w:t>
            </w:r>
            <w:r w:rsidR="0411A23E" w:rsidRPr="06F10F4C">
              <w:rPr>
                <w:rFonts w:ascii="Tw Cen MT" w:hAnsi="Tw Cen MT" w:cs="Arial"/>
                <w:lang w:val="en-US"/>
              </w:rPr>
              <w:t xml:space="preserve"> liquidated damages can be adjusted based on discussion with the developer to understand their standard </w:t>
            </w:r>
            <w:r w:rsidR="24BF2FA5" w:rsidRPr="06F10F4C">
              <w:rPr>
                <w:rFonts w:ascii="Tw Cen MT" w:hAnsi="Tw Cen MT" w:cs="Arial"/>
                <w:lang w:val="en-US"/>
              </w:rPr>
              <w:t>practice for similar contracts.</w:t>
            </w:r>
          </w:p>
          <w:tbl>
            <w:tblPr>
              <w:tblStyle w:val="TableGrid"/>
              <w:tblpPr w:leftFromText="180" w:rightFromText="180" w:vertAnchor="text" w:horzAnchor="margin" w:tblpY="136"/>
              <w:tblOverlap w:val="never"/>
              <w:tblW w:w="0" w:type="auto"/>
              <w:tblLook w:val="04A0" w:firstRow="1" w:lastRow="0" w:firstColumn="1" w:lastColumn="0" w:noHBand="0" w:noVBand="1"/>
            </w:tblPr>
            <w:tblGrid>
              <w:gridCol w:w="2418"/>
              <w:gridCol w:w="3517"/>
            </w:tblGrid>
            <w:tr w:rsidR="00F05D11" w:rsidRPr="00F05D11" w14:paraId="67B28E67" w14:textId="77777777" w:rsidTr="0417647D">
              <w:trPr>
                <w:trHeight w:val="692"/>
              </w:trPr>
              <w:tc>
                <w:tcPr>
                  <w:tcW w:w="2418" w:type="dxa"/>
                </w:tcPr>
                <w:p w14:paraId="1E534A89" w14:textId="21417328" w:rsidR="00F05D11" w:rsidRPr="00F05D11" w:rsidRDefault="4566EE98" w:rsidP="008F62F5">
                  <w:pPr>
                    <w:pStyle w:val="ListParagraph"/>
                    <w:ind w:left="0"/>
                    <w:jc w:val="center"/>
                    <w:rPr>
                      <w:rFonts w:cs="Times New Roman"/>
                      <w:b/>
                      <w:bCs/>
                      <w:sz w:val="21"/>
                      <w:szCs w:val="21"/>
                    </w:rPr>
                  </w:pPr>
                  <w:r w:rsidRPr="0417647D">
                    <w:rPr>
                      <w:rFonts w:cs="Times New Roman"/>
                      <w:b/>
                      <w:bCs/>
                      <w:sz w:val="21"/>
                      <w:szCs w:val="21"/>
                    </w:rPr>
                    <w:t>DER</w:t>
                  </w:r>
                  <w:r w:rsidR="00F05D11" w:rsidRPr="0417647D">
                    <w:rPr>
                      <w:rFonts w:cs="Times New Roman"/>
                      <w:b/>
                      <w:bCs/>
                      <w:sz w:val="21"/>
                      <w:szCs w:val="21"/>
                    </w:rPr>
                    <w:t xml:space="preserve"> Availability Standard Deviation</w:t>
                  </w:r>
                </w:p>
              </w:tc>
              <w:tc>
                <w:tcPr>
                  <w:tcW w:w="3517" w:type="dxa"/>
                </w:tcPr>
                <w:p w14:paraId="7C5F1B98" w14:textId="77777777" w:rsidR="00F05D11" w:rsidRPr="00F05D11" w:rsidRDefault="00F05D11" w:rsidP="008F62F5">
                  <w:pPr>
                    <w:pStyle w:val="ListParagraph"/>
                    <w:ind w:left="0"/>
                    <w:jc w:val="center"/>
                    <w:rPr>
                      <w:rFonts w:cs="Times New Roman"/>
                      <w:b/>
                      <w:sz w:val="21"/>
                      <w:szCs w:val="21"/>
                    </w:rPr>
                  </w:pPr>
                  <w:r w:rsidRPr="00F05D11">
                    <w:rPr>
                      <w:rFonts w:cs="Times New Roman"/>
                      <w:b/>
                      <w:sz w:val="21"/>
                      <w:szCs w:val="21"/>
                    </w:rPr>
                    <w:t>Operator Liquidated Damages (% of Previous Month’s Blended Tariff)</w:t>
                  </w:r>
                </w:p>
              </w:tc>
            </w:tr>
            <w:tr w:rsidR="00F05D11" w:rsidRPr="00F05D11" w14:paraId="0C4D0604" w14:textId="77777777" w:rsidTr="0417647D">
              <w:trPr>
                <w:trHeight w:val="300"/>
              </w:trPr>
              <w:tc>
                <w:tcPr>
                  <w:tcW w:w="2418" w:type="dxa"/>
                </w:tcPr>
                <w:p w14:paraId="480DECBE"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95 – 100%</w:t>
                  </w:r>
                </w:p>
              </w:tc>
              <w:tc>
                <w:tcPr>
                  <w:tcW w:w="3517" w:type="dxa"/>
                  <w:shd w:val="clear" w:color="auto" w:fill="auto"/>
                </w:tcPr>
                <w:p w14:paraId="5940215E" w14:textId="77777777" w:rsidR="00F05D11" w:rsidRPr="00F05D11" w:rsidRDefault="00F05D11" w:rsidP="008F62F5">
                  <w:pPr>
                    <w:pStyle w:val="ListParagraph"/>
                    <w:ind w:left="0"/>
                    <w:jc w:val="both"/>
                    <w:rPr>
                      <w:rFonts w:cs="Kanit Light"/>
                      <w:sz w:val="21"/>
                      <w:szCs w:val="21"/>
                    </w:rPr>
                  </w:pPr>
                  <w:r w:rsidRPr="00F05D11">
                    <w:rPr>
                      <w:rFonts w:cs="Times New Roman"/>
                      <w:sz w:val="21"/>
                      <w:szCs w:val="21"/>
                    </w:rPr>
                    <w:t>0%</w:t>
                  </w:r>
                </w:p>
              </w:tc>
            </w:tr>
            <w:tr w:rsidR="00F05D11" w:rsidRPr="00F05D11" w14:paraId="2AEB2845" w14:textId="77777777" w:rsidTr="0417647D">
              <w:trPr>
                <w:trHeight w:val="300"/>
              </w:trPr>
              <w:tc>
                <w:tcPr>
                  <w:tcW w:w="2418" w:type="dxa"/>
                </w:tcPr>
                <w:p w14:paraId="01EC8C64" w14:textId="77777777" w:rsidR="00F05D11" w:rsidRPr="00F05D11" w:rsidRDefault="00F05D11" w:rsidP="008F62F5">
                  <w:pPr>
                    <w:pStyle w:val="ListParagraph"/>
                    <w:tabs>
                      <w:tab w:val="center" w:pos="1853"/>
                    </w:tabs>
                    <w:ind w:left="0"/>
                    <w:jc w:val="both"/>
                    <w:rPr>
                      <w:rFonts w:cs="Times New Roman"/>
                      <w:sz w:val="21"/>
                      <w:szCs w:val="21"/>
                    </w:rPr>
                  </w:pPr>
                  <w:r w:rsidRPr="00F05D11">
                    <w:rPr>
                      <w:rFonts w:cs="Times New Roman"/>
                      <w:sz w:val="21"/>
                      <w:szCs w:val="21"/>
                    </w:rPr>
                    <w:t>90 – 94.9%</w:t>
                  </w:r>
                </w:p>
              </w:tc>
              <w:tc>
                <w:tcPr>
                  <w:tcW w:w="3517" w:type="dxa"/>
                  <w:shd w:val="clear" w:color="auto" w:fill="auto"/>
                </w:tcPr>
                <w:p w14:paraId="6AD28FFF"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10%</w:t>
                  </w:r>
                </w:p>
              </w:tc>
            </w:tr>
            <w:tr w:rsidR="00F05D11" w:rsidRPr="00F05D11" w14:paraId="00920317" w14:textId="77777777" w:rsidTr="0417647D">
              <w:trPr>
                <w:trHeight w:val="300"/>
              </w:trPr>
              <w:tc>
                <w:tcPr>
                  <w:tcW w:w="2418" w:type="dxa"/>
                </w:tcPr>
                <w:p w14:paraId="1A74A86C"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 xml:space="preserve">85 – 89.9% </w:t>
                  </w:r>
                </w:p>
              </w:tc>
              <w:tc>
                <w:tcPr>
                  <w:tcW w:w="3517" w:type="dxa"/>
                  <w:shd w:val="clear" w:color="auto" w:fill="auto"/>
                </w:tcPr>
                <w:p w14:paraId="086E0A69"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20%</w:t>
                  </w:r>
                </w:p>
              </w:tc>
            </w:tr>
            <w:tr w:rsidR="00F05D11" w:rsidRPr="00F05D11" w14:paraId="71040FD5" w14:textId="77777777" w:rsidTr="0417647D">
              <w:trPr>
                <w:trHeight w:val="300"/>
              </w:trPr>
              <w:tc>
                <w:tcPr>
                  <w:tcW w:w="2418" w:type="dxa"/>
                </w:tcPr>
                <w:p w14:paraId="7C8D2B85"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 xml:space="preserve">80 – 84.9% </w:t>
                  </w:r>
                </w:p>
              </w:tc>
              <w:tc>
                <w:tcPr>
                  <w:tcW w:w="3517" w:type="dxa"/>
                  <w:shd w:val="clear" w:color="auto" w:fill="auto"/>
                </w:tcPr>
                <w:p w14:paraId="4ECB86ED"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30%</w:t>
                  </w:r>
                </w:p>
              </w:tc>
            </w:tr>
            <w:tr w:rsidR="00F05D11" w:rsidRPr="00F05D11" w14:paraId="76E541D4" w14:textId="77777777" w:rsidTr="0417647D">
              <w:trPr>
                <w:trHeight w:val="300"/>
              </w:trPr>
              <w:tc>
                <w:tcPr>
                  <w:tcW w:w="2418" w:type="dxa"/>
                </w:tcPr>
                <w:p w14:paraId="43E04122"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70 – 79.9%</w:t>
                  </w:r>
                </w:p>
              </w:tc>
              <w:tc>
                <w:tcPr>
                  <w:tcW w:w="3517" w:type="dxa"/>
                  <w:shd w:val="clear" w:color="auto" w:fill="auto"/>
                </w:tcPr>
                <w:p w14:paraId="0D2F9EA1"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40%</w:t>
                  </w:r>
                </w:p>
              </w:tc>
            </w:tr>
            <w:tr w:rsidR="00F05D11" w:rsidRPr="00F05D11" w14:paraId="72D51A95" w14:textId="77777777" w:rsidTr="0417647D">
              <w:trPr>
                <w:trHeight w:val="300"/>
              </w:trPr>
              <w:tc>
                <w:tcPr>
                  <w:tcW w:w="2418" w:type="dxa"/>
                </w:tcPr>
                <w:p w14:paraId="541B5CD2"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60 – 69.9%</w:t>
                  </w:r>
                </w:p>
              </w:tc>
              <w:tc>
                <w:tcPr>
                  <w:tcW w:w="3517" w:type="dxa"/>
                  <w:shd w:val="clear" w:color="auto" w:fill="auto"/>
                </w:tcPr>
                <w:p w14:paraId="38C4D967"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50%</w:t>
                  </w:r>
                </w:p>
              </w:tc>
            </w:tr>
            <w:tr w:rsidR="00F05D11" w:rsidRPr="00F05D11" w14:paraId="7AC7E8E5" w14:textId="77777777" w:rsidTr="0417647D">
              <w:trPr>
                <w:trHeight w:val="288"/>
              </w:trPr>
              <w:tc>
                <w:tcPr>
                  <w:tcW w:w="2418" w:type="dxa"/>
                </w:tcPr>
                <w:p w14:paraId="7469C1FC"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50 – 59.9%</w:t>
                  </w:r>
                </w:p>
              </w:tc>
              <w:tc>
                <w:tcPr>
                  <w:tcW w:w="3517" w:type="dxa"/>
                  <w:shd w:val="clear" w:color="auto" w:fill="auto"/>
                </w:tcPr>
                <w:p w14:paraId="1843C421"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60%</w:t>
                  </w:r>
                </w:p>
              </w:tc>
            </w:tr>
            <w:tr w:rsidR="00F05D11" w:rsidRPr="00F05D11" w14:paraId="5676FCB1" w14:textId="77777777" w:rsidTr="0417647D">
              <w:trPr>
                <w:trHeight w:val="300"/>
              </w:trPr>
              <w:tc>
                <w:tcPr>
                  <w:tcW w:w="2418" w:type="dxa"/>
                </w:tcPr>
                <w:p w14:paraId="623EA142"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49.99% or less</w:t>
                  </w:r>
                </w:p>
              </w:tc>
              <w:tc>
                <w:tcPr>
                  <w:tcW w:w="3517" w:type="dxa"/>
                  <w:shd w:val="clear" w:color="auto" w:fill="auto"/>
                </w:tcPr>
                <w:p w14:paraId="17BD5BC9" w14:textId="77777777" w:rsidR="00F05D11" w:rsidRPr="00F05D11" w:rsidRDefault="00F05D11" w:rsidP="008F62F5">
                  <w:pPr>
                    <w:pStyle w:val="ListParagraph"/>
                    <w:ind w:left="0"/>
                    <w:jc w:val="both"/>
                    <w:rPr>
                      <w:rFonts w:cs="Times New Roman"/>
                      <w:sz w:val="21"/>
                      <w:szCs w:val="21"/>
                    </w:rPr>
                  </w:pPr>
                  <w:r w:rsidRPr="00F05D11">
                    <w:rPr>
                      <w:rFonts w:cs="Times New Roman"/>
                      <w:sz w:val="21"/>
                      <w:szCs w:val="21"/>
                    </w:rPr>
                    <w:t>100%</w:t>
                  </w:r>
                </w:p>
              </w:tc>
            </w:tr>
          </w:tbl>
          <w:p w14:paraId="76807284" w14:textId="77777777" w:rsidR="0080136C" w:rsidRPr="00F05D11" w:rsidRDefault="0080136C"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sz w:val="21"/>
                <w:szCs w:val="21"/>
                <w:lang w:val="en-US"/>
              </w:rPr>
            </w:pPr>
          </w:p>
          <w:p w14:paraId="255BF11D" w14:textId="77777777" w:rsidR="00F05D11" w:rsidRDefault="00F05D11"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65EB98D6" w14:textId="72ADEBD7" w:rsidR="0048698D" w:rsidRPr="00A9365E" w:rsidRDefault="0048698D" w:rsidP="06F10F4C">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tc>
      </w:tr>
      <w:tr w:rsidR="007A1E82" w:rsidRPr="00A9365E" w14:paraId="0526413B" w14:textId="77777777" w:rsidTr="04176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0340D487" w14:textId="77777777" w:rsidR="007A1E82" w:rsidRPr="00A9365E" w:rsidRDefault="007A1E82" w:rsidP="007A1E82">
            <w:pPr>
              <w:spacing w:before="60" w:after="60"/>
              <w:rPr>
                <w:rFonts w:ascii="Tw Cen MT" w:hAnsi="Tw Cen MT" w:cs="Arial"/>
                <w:color w:val="000000" w:themeColor="text1"/>
                <w:lang w:val="en-US"/>
              </w:rPr>
            </w:pPr>
            <w:r w:rsidRPr="00A9365E">
              <w:rPr>
                <w:rFonts w:ascii="Tw Cen MT" w:hAnsi="Tw Cen MT" w:cs="Arial"/>
                <w:color w:val="000000" w:themeColor="text1"/>
                <w:lang w:val="en-US"/>
              </w:rPr>
              <w:lastRenderedPageBreak/>
              <w:t>Termination</w:t>
            </w:r>
          </w:p>
        </w:tc>
        <w:tc>
          <w:tcPr>
            <w:tcW w:w="1926" w:type="pct"/>
            <w:tcBorders>
              <w:top w:val="single" w:sz="8" w:space="0" w:color="000000" w:themeColor="text1"/>
              <w:bottom w:val="single" w:sz="8" w:space="0" w:color="000000" w:themeColor="text1"/>
              <w:right w:val="nil"/>
            </w:tcBorders>
            <w:shd w:val="clear" w:color="auto" w:fill="auto"/>
          </w:tcPr>
          <w:p w14:paraId="6925F6DD" w14:textId="5D442B78" w:rsidR="007A1E82" w:rsidRPr="00A9365E" w:rsidRDefault="007A1E82" w:rsidP="007A1E82">
            <w:pPr>
              <w:numPr>
                <w:ilvl w:val="0"/>
                <w:numId w:val="2"/>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The customer, DER developer</w:t>
            </w:r>
            <w:r w:rsidR="00517733">
              <w:rPr>
                <w:rFonts w:ascii="Tw Cen MT" w:eastAsia="Interstate-Light" w:hAnsi="Tw Cen MT" w:cs="Arial"/>
                <w:color w:val="000000" w:themeColor="text1"/>
                <w:lang w:val="en-US"/>
              </w:rPr>
              <w:t>,</w:t>
            </w:r>
            <w:r w:rsidRPr="00A9365E">
              <w:rPr>
                <w:rFonts w:ascii="Tw Cen MT" w:eastAsia="Interstate-Light" w:hAnsi="Tw Cen MT" w:cs="Arial"/>
                <w:color w:val="000000" w:themeColor="text1"/>
                <w:lang w:val="en-US"/>
              </w:rPr>
              <w:t xml:space="preserve"> and </w:t>
            </w:r>
            <w:r w:rsidR="007C6B8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have the right to terminate the agreement after following the dispute resolution steps outlined in the contract and the issue persists.</w:t>
            </w:r>
          </w:p>
          <w:p w14:paraId="707C627D" w14:textId="1D8E1DFC" w:rsidR="007A1E82" w:rsidRPr="00A9365E" w:rsidRDefault="007A1E82" w:rsidP="007A1E82">
            <w:pPr>
              <w:numPr>
                <w:ilvl w:val="1"/>
                <w:numId w:val="2"/>
              </w:numPr>
              <w:spacing w:before="60" w:after="60"/>
              <w:ind w:left="606" w:hanging="27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w:t>
            </w:r>
            <w:r w:rsidR="0099162F">
              <w:rPr>
                <w:rFonts w:ascii="Tw Cen MT" w:eastAsia="Interstate-Light" w:hAnsi="Tw Cen MT" w:cs="Arial"/>
                <w:color w:val="000000" w:themeColor="text1"/>
                <w:lang w:val="en-US"/>
              </w:rPr>
              <w:t xml:space="preserve">the </w:t>
            </w:r>
            <w:proofErr w:type="spellStart"/>
            <w:r w:rsidR="00885E99" w:rsidRPr="00A9365E">
              <w:rPr>
                <w:rFonts w:ascii="Tw Cen MT" w:eastAsia="Interstate-Light" w:hAnsi="Tw Cen MT" w:cs="Arial"/>
                <w:color w:val="000000" w:themeColor="text1"/>
                <w:lang w:val="en-US"/>
              </w:rPr>
              <w:t>utili</w:t>
            </w:r>
            <w:proofErr w:type="spellEnd"/>
            <w:r w:rsidR="00885E99" w:rsidRPr="00A9365E">
              <w:rPr>
                <w:rFonts w:ascii="Tw Cen MT" w:eastAsia="Interstate-Light" w:hAnsi="Tw Cen MT" w:cs="Arial"/>
                <w:color w:val="000000" w:themeColor="text1"/>
              </w:rPr>
              <w:t>ty</w:t>
            </w:r>
            <w:r w:rsidR="0020580C">
              <w:rPr>
                <w:rFonts w:ascii="Tw Cen MT" w:eastAsia="Interstate-Light" w:hAnsi="Tw Cen MT" w:cs="Arial"/>
                <w:color w:val="000000" w:themeColor="text1"/>
              </w:rPr>
              <w:t xml:space="preserve"> </w:t>
            </w:r>
            <w:r w:rsidRPr="00A9365E">
              <w:rPr>
                <w:rFonts w:ascii="Tw Cen MT" w:eastAsia="Interstate-Light" w:hAnsi="Tw Cen MT" w:cs="Arial"/>
                <w:color w:val="000000" w:themeColor="text1"/>
                <w:lang w:val="en-US"/>
              </w:rPr>
              <w:t xml:space="preserve">fails to meet the minimum Grid Availability Standard for a consistent period, the </w:t>
            </w:r>
            <w:r w:rsidR="007C6B81"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’s supply obligations would be terminated, and the DER developer and customer can enter into a bilateral agreement.</w:t>
            </w:r>
          </w:p>
          <w:p w14:paraId="6EDB3CF5" w14:textId="29E07144" w:rsidR="007A1E82" w:rsidRPr="00A9365E" w:rsidRDefault="007A1E82" w:rsidP="007A1E82">
            <w:pPr>
              <w:numPr>
                <w:ilvl w:val="1"/>
                <w:numId w:val="2"/>
              </w:numPr>
              <w:spacing w:before="60" w:after="60"/>
              <w:ind w:left="606" w:hanging="27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the DER developer breaches, the developer will uninstall the system and restore </w:t>
            </w:r>
            <w:r w:rsidR="0099162F">
              <w:rPr>
                <w:rFonts w:ascii="Tw Cen MT" w:eastAsia="Interstate-Light" w:hAnsi="Tw Cen MT" w:cs="Arial"/>
                <w:color w:val="000000" w:themeColor="text1"/>
                <w:lang w:val="en-US"/>
              </w:rPr>
              <w:t xml:space="preserve">the </w:t>
            </w:r>
            <w:r w:rsidRPr="00A9365E">
              <w:rPr>
                <w:rFonts w:ascii="Tw Cen MT" w:eastAsia="Interstate-Light" w:hAnsi="Tw Cen MT" w:cs="Arial"/>
                <w:color w:val="000000" w:themeColor="text1"/>
                <w:lang w:val="en-US"/>
              </w:rPr>
              <w:t xml:space="preserve">land, </w:t>
            </w:r>
            <w:r w:rsidR="00527D88">
              <w:rPr>
                <w:rFonts w:ascii="Tw Cen MT" w:eastAsia="Interstate-Light" w:hAnsi="Tw Cen MT" w:cs="Arial"/>
                <w:color w:val="000000" w:themeColor="text1"/>
                <w:lang w:val="en-US"/>
              </w:rPr>
              <w:t xml:space="preserve">and </w:t>
            </w:r>
            <w:r w:rsidRPr="00A9365E">
              <w:rPr>
                <w:rFonts w:ascii="Tw Cen MT" w:eastAsia="Interstate-Light" w:hAnsi="Tw Cen MT" w:cs="Arial"/>
                <w:color w:val="000000" w:themeColor="text1"/>
                <w:lang w:val="en-US"/>
              </w:rPr>
              <w:t>rooftop to good condition, at its own cost.</w:t>
            </w:r>
            <w:r w:rsidR="003F4F33" w:rsidRPr="00A9365E">
              <w:rPr>
                <w:rFonts w:ascii="Tw Cen MT" w:eastAsia="Interstate-Light" w:hAnsi="Tw Cen MT" w:cs="Arial"/>
                <w:color w:val="000000" w:themeColor="text1"/>
                <w:lang w:val="en-US"/>
              </w:rPr>
              <w:t xml:space="preserve"> </w:t>
            </w:r>
          </w:p>
          <w:p w14:paraId="6BBE8441" w14:textId="22660AA8" w:rsidR="007A1E82" w:rsidRPr="00A9365E" w:rsidRDefault="007A1E82" w:rsidP="007A1E82">
            <w:pPr>
              <w:numPr>
                <w:ilvl w:val="1"/>
                <w:numId w:val="2"/>
              </w:numPr>
              <w:spacing w:before="60" w:after="60"/>
              <w:ind w:left="606" w:hanging="27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If the customer defaults, the customer may purchase the asset at Fair Value, or pay the DER developer a termination fee which is calculated based on </w:t>
            </w:r>
            <w:r w:rsidR="00527D88">
              <w:rPr>
                <w:rFonts w:ascii="Tw Cen MT" w:eastAsia="Interstate-Light" w:hAnsi="Tw Cen MT" w:cs="Arial"/>
                <w:color w:val="000000" w:themeColor="text1"/>
                <w:lang w:val="en-US"/>
              </w:rPr>
              <w:t xml:space="preserve">the </w:t>
            </w:r>
            <w:r w:rsidRPr="00A9365E">
              <w:rPr>
                <w:rFonts w:ascii="Tw Cen MT" w:eastAsia="Interstate-Light" w:hAnsi="Tw Cen MT" w:cs="Arial"/>
                <w:color w:val="000000" w:themeColor="text1"/>
                <w:lang w:val="en-US"/>
              </w:rPr>
              <w:t>remaining book value of assets.</w:t>
            </w:r>
          </w:p>
        </w:tc>
        <w:tc>
          <w:tcPr>
            <w:tcW w:w="2318" w:type="pct"/>
            <w:tcBorders>
              <w:top w:val="single" w:sz="8" w:space="0" w:color="000000" w:themeColor="text1"/>
              <w:bottom w:val="single" w:sz="8" w:space="0" w:color="000000" w:themeColor="text1"/>
              <w:right w:val="nil"/>
            </w:tcBorders>
            <w:shd w:val="clear" w:color="auto" w:fill="E1E7F0"/>
          </w:tcPr>
          <w:p w14:paraId="06E49832" w14:textId="1A93EC6E" w:rsidR="007A1E82" w:rsidRPr="00A9365E" w:rsidRDefault="007A1E82" w:rsidP="00F13295">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This is a new business model arrangement, and these clauses give all three parties a way to exit in extreme circumstances. For example, DER developers may be wary of the </w:t>
            </w:r>
            <w:r w:rsidR="007C6B81" w:rsidRPr="00A9365E">
              <w:rPr>
                <w:rFonts w:ascii="Tw Cen MT" w:hAnsi="Tw Cen MT" w:cs="Arial"/>
                <w:lang w:val="en-US"/>
              </w:rPr>
              <w:t>utility</w:t>
            </w:r>
            <w:r w:rsidRPr="00A9365E">
              <w:rPr>
                <w:rFonts w:ascii="Tw Cen MT" w:hAnsi="Tw Cen MT" w:cs="Arial"/>
                <w:lang w:val="en-US"/>
              </w:rPr>
              <w:t xml:space="preserve">’s ability to provide reliable grid supply. The DER developer is making a large capital investment in the project and does not want that investment to be lost if the </w:t>
            </w:r>
            <w:r w:rsidR="007C6B81" w:rsidRPr="00A9365E">
              <w:rPr>
                <w:rFonts w:ascii="Tw Cen MT" w:hAnsi="Tw Cen MT" w:cs="Arial"/>
                <w:lang w:val="en-US"/>
              </w:rPr>
              <w:t>utility</w:t>
            </w:r>
            <w:r w:rsidRPr="00A9365E">
              <w:rPr>
                <w:rFonts w:ascii="Tw Cen MT" w:hAnsi="Tw Cen MT" w:cs="Arial"/>
                <w:lang w:val="en-US"/>
              </w:rPr>
              <w:t xml:space="preserve"> ultimately cannot perform. To mitigate this perceived risk, the </w:t>
            </w:r>
            <w:r w:rsidR="00376EBB" w:rsidRPr="00A9365E">
              <w:rPr>
                <w:rFonts w:ascii="Tw Cen MT" w:hAnsi="Tw Cen MT" w:cs="Arial"/>
                <w:lang w:val="en-US"/>
              </w:rPr>
              <w:t>contract</w:t>
            </w:r>
            <w:r w:rsidRPr="00A9365E">
              <w:rPr>
                <w:rFonts w:ascii="Tw Cen MT" w:hAnsi="Tw Cen MT" w:cs="Arial"/>
                <w:lang w:val="en-US"/>
              </w:rPr>
              <w:t xml:space="preserve"> allows the DER developer and C&amp;I customer to enter a bilateral arrangement </w:t>
            </w:r>
            <w:r w:rsidR="00F13295" w:rsidRPr="00A9365E">
              <w:rPr>
                <w:rFonts w:ascii="Tw Cen MT" w:hAnsi="Tw Cen MT" w:cs="Arial"/>
                <w:lang w:val="en-US"/>
              </w:rPr>
              <w:t>if</w:t>
            </w:r>
            <w:r w:rsidRPr="00A9365E">
              <w:rPr>
                <w:rFonts w:ascii="Tw Cen MT" w:hAnsi="Tw Cen MT" w:cs="Arial"/>
                <w:lang w:val="en-US"/>
              </w:rPr>
              <w:t xml:space="preserve"> the </w:t>
            </w:r>
            <w:r w:rsidR="007C6B81" w:rsidRPr="00A9365E">
              <w:rPr>
                <w:rFonts w:ascii="Tw Cen MT" w:hAnsi="Tw Cen MT" w:cs="Arial"/>
                <w:lang w:val="en-US"/>
              </w:rPr>
              <w:t>utility</w:t>
            </w:r>
            <w:r w:rsidRPr="00A9365E">
              <w:rPr>
                <w:rFonts w:ascii="Tw Cen MT" w:hAnsi="Tw Cen MT" w:cs="Arial"/>
                <w:lang w:val="en-US"/>
              </w:rPr>
              <w:t xml:space="preserve"> consistently cannot meet the grid availability standard and other options to revise it have been exhausted.</w:t>
            </w:r>
            <w:r w:rsidR="004F7C50" w:rsidRPr="00A9365E">
              <w:rPr>
                <w:rFonts w:ascii="Tw Cen MT" w:hAnsi="Tw Cen MT" w:cs="Arial"/>
                <w:lang w:val="en-US"/>
              </w:rPr>
              <w:t xml:space="preserve"> This allows for the </w:t>
            </w:r>
            <w:r w:rsidR="007C6B81" w:rsidRPr="00A9365E">
              <w:rPr>
                <w:rFonts w:ascii="Tw Cen MT" w:hAnsi="Tw Cen MT" w:cs="Arial"/>
                <w:lang w:val="en-US"/>
              </w:rPr>
              <w:t>utility</w:t>
            </w:r>
            <w:r w:rsidR="004F7C50" w:rsidRPr="00A9365E">
              <w:rPr>
                <w:rFonts w:ascii="Tw Cen MT" w:hAnsi="Tw Cen MT" w:cs="Arial"/>
                <w:lang w:val="en-US"/>
              </w:rPr>
              <w:t xml:space="preserve"> </w:t>
            </w:r>
            <w:r w:rsidR="002C3CD5">
              <w:rPr>
                <w:rFonts w:ascii="Tw Cen MT" w:hAnsi="Tw Cen MT" w:cs="Arial"/>
                <w:lang w:val="en-US"/>
              </w:rPr>
              <w:t xml:space="preserve">to </w:t>
            </w:r>
            <w:r w:rsidR="003E0A00" w:rsidRPr="00A9365E">
              <w:rPr>
                <w:rFonts w:ascii="Tw Cen MT" w:hAnsi="Tw Cen MT" w:cs="Arial"/>
                <w:lang w:val="en-US"/>
              </w:rPr>
              <w:t>go back to its previous service arrangement with the customer</w:t>
            </w:r>
            <w:r w:rsidR="00F13295" w:rsidRPr="00A9365E">
              <w:rPr>
                <w:rFonts w:ascii="Tw Cen MT" w:hAnsi="Tw Cen MT" w:cs="Arial"/>
                <w:lang w:val="en-US"/>
              </w:rPr>
              <w:t xml:space="preserve"> where supply from the grid could be consumed when available. </w:t>
            </w:r>
          </w:p>
          <w:p w14:paraId="0AAF5CE8" w14:textId="77777777" w:rsidR="007A1E82" w:rsidRPr="00A9365E" w:rsidRDefault="007A1E82" w:rsidP="007A1E82">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048BE03D" w14:textId="1368EA66" w:rsidR="007A1E82" w:rsidRPr="00A9365E" w:rsidRDefault="5E2E413B" w:rsidP="007A1E82">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A9365E">
              <w:rPr>
                <w:rFonts w:ascii="Tw Cen MT" w:hAnsi="Tw Cen MT" w:cs="Arial"/>
                <w:lang w:val="en-US"/>
              </w:rPr>
              <w:t xml:space="preserve">OPTIONAL – CONTRACT TERMINATION BEFORE PROJECT COMMISSIONING. </w:t>
            </w:r>
            <w:r w:rsidR="2A52AE6C" w:rsidRPr="00A9365E">
              <w:rPr>
                <w:rFonts w:ascii="Tw Cen MT" w:hAnsi="Tw Cen MT" w:cs="Arial"/>
                <w:lang w:val="en-US"/>
              </w:rPr>
              <w:t>The contract can also be terminated at the earlier stage of the project</w:t>
            </w:r>
            <w:r w:rsidR="3B415FF8" w:rsidRPr="00A9365E">
              <w:rPr>
                <w:rFonts w:ascii="Tw Cen MT" w:hAnsi="Tw Cen MT" w:cs="Arial"/>
                <w:lang w:val="en-US"/>
              </w:rPr>
              <w:t>. For instance</w:t>
            </w:r>
            <w:r w:rsidRPr="00A9365E">
              <w:rPr>
                <w:rFonts w:ascii="Tw Cen MT" w:hAnsi="Tw Cen MT" w:cs="Arial"/>
                <w:lang w:val="en-US"/>
              </w:rPr>
              <w:t>, if</w:t>
            </w:r>
            <w:r w:rsidR="3B415FF8" w:rsidRPr="00A9365E">
              <w:rPr>
                <w:rFonts w:ascii="Tw Cen MT" w:hAnsi="Tw Cen MT" w:cs="Arial"/>
                <w:lang w:val="en-US"/>
              </w:rPr>
              <w:t xml:space="preserve"> the project</w:t>
            </w:r>
            <w:r w:rsidR="5B4BC745" w:rsidRPr="00A9365E">
              <w:rPr>
                <w:rFonts w:ascii="Tw Cen MT" w:hAnsi="Tw Cen MT" w:cs="Arial"/>
                <w:lang w:val="en-US"/>
              </w:rPr>
              <w:t xml:space="preserve"> construction</w:t>
            </w:r>
            <w:r w:rsidR="3B415FF8" w:rsidRPr="00A9365E">
              <w:rPr>
                <w:rFonts w:ascii="Tw Cen MT" w:hAnsi="Tw Cen MT" w:cs="Arial"/>
                <w:lang w:val="en-US"/>
              </w:rPr>
              <w:t xml:space="preserve"> </w:t>
            </w:r>
            <w:r w:rsidR="5B4BC745" w:rsidRPr="00A9365E">
              <w:rPr>
                <w:rFonts w:ascii="Tw Cen MT" w:hAnsi="Tw Cen MT" w:cs="Arial"/>
                <w:lang w:val="en-US"/>
              </w:rPr>
              <w:t>is not progressing</w:t>
            </w:r>
            <w:r w:rsidR="3B415FF8" w:rsidRPr="00A9365E">
              <w:rPr>
                <w:rFonts w:ascii="Tw Cen MT" w:hAnsi="Tw Cen MT" w:cs="Arial"/>
                <w:lang w:val="en-US"/>
              </w:rPr>
              <w:t xml:space="preserve"> </w:t>
            </w:r>
            <w:r w:rsidR="18C9E290" w:rsidRPr="00A9365E">
              <w:rPr>
                <w:rFonts w:ascii="Tw Cen MT" w:hAnsi="Tw Cen MT" w:cs="Arial"/>
                <w:lang w:val="en-US"/>
              </w:rPr>
              <w:t>for 3</w:t>
            </w:r>
            <w:r w:rsidR="5B4BC745" w:rsidRPr="00A9365E">
              <w:rPr>
                <w:rFonts w:ascii="Tw Cen MT" w:hAnsi="Tw Cen MT" w:cs="Arial"/>
                <w:lang w:val="en-US"/>
              </w:rPr>
              <w:t xml:space="preserve"> consecutive</w:t>
            </w:r>
            <w:r w:rsidR="18C9E290" w:rsidRPr="00A9365E">
              <w:rPr>
                <w:rFonts w:ascii="Tw Cen MT" w:hAnsi="Tw Cen MT" w:cs="Arial"/>
                <w:lang w:val="en-US"/>
              </w:rPr>
              <w:t xml:space="preserve"> months</w:t>
            </w:r>
            <w:r w:rsidR="1649452B">
              <w:rPr>
                <w:rFonts w:ascii="Tw Cen MT" w:hAnsi="Tw Cen MT" w:cs="Arial"/>
                <w:lang w:val="en-US"/>
              </w:rPr>
              <w:t xml:space="preserve"> </w:t>
            </w:r>
            <w:r w:rsidR="69676A08" w:rsidRPr="00A9365E">
              <w:rPr>
                <w:rFonts w:ascii="Tw Cen MT" w:hAnsi="Tw Cen MT" w:cs="Arial"/>
                <w:lang w:val="en-US"/>
              </w:rPr>
              <w:t xml:space="preserve">after the date of </w:t>
            </w:r>
            <w:r w:rsidR="756179EA" w:rsidRPr="00A9365E">
              <w:rPr>
                <w:rFonts w:ascii="Tw Cen MT" w:hAnsi="Tw Cen MT" w:cs="Arial"/>
                <w:lang w:val="en-US"/>
              </w:rPr>
              <w:t>commercial operation</w:t>
            </w:r>
            <w:r w:rsidR="004E4045" w:rsidRPr="00A9365E">
              <w:rPr>
                <w:rStyle w:val="FootnoteReference"/>
                <w:rFonts w:ascii="Tw Cen MT" w:hAnsi="Tw Cen MT" w:cs="Arial"/>
                <w:lang w:val="en-US"/>
              </w:rPr>
              <w:footnoteReference w:id="11"/>
            </w:r>
            <w:r w:rsidR="6F172290" w:rsidRPr="00A9365E">
              <w:rPr>
                <w:rFonts w:ascii="Tw Cen MT" w:hAnsi="Tw Cen MT" w:cs="Arial"/>
                <w:lang w:val="en-US"/>
              </w:rPr>
              <w:t xml:space="preserve"> </w:t>
            </w:r>
            <w:r w:rsidR="77A5CF4B" w:rsidRPr="00A9365E">
              <w:rPr>
                <w:rFonts w:ascii="Tw Cen MT" w:hAnsi="Tw Cen MT" w:cs="Arial"/>
                <w:lang w:val="en-US"/>
              </w:rPr>
              <w:t xml:space="preserve">or </w:t>
            </w:r>
            <w:r w:rsidR="66FB14EF" w:rsidRPr="00A9365E">
              <w:rPr>
                <w:rFonts w:ascii="Tw Cen MT" w:hAnsi="Tw Cen MT" w:cs="Arial"/>
              </w:rPr>
              <w:t>12-month</w:t>
            </w:r>
            <w:r w:rsidR="6C4EFCCD" w:rsidRPr="00A9365E">
              <w:rPr>
                <w:rFonts w:ascii="Tw Cen MT" w:hAnsi="Tw Cen MT" w:cs="Arial"/>
                <w:lang w:val="en-US"/>
              </w:rPr>
              <w:t xml:space="preserve"> period after </w:t>
            </w:r>
            <w:r w:rsidR="0281D57C" w:rsidRPr="00A9365E">
              <w:rPr>
                <w:rFonts w:ascii="Tw Cen MT" w:hAnsi="Tw Cen MT" w:cs="Arial"/>
                <w:lang w:val="en-US"/>
              </w:rPr>
              <w:t>signing</w:t>
            </w:r>
            <w:r w:rsidR="6C4EFCCD" w:rsidRPr="00A9365E">
              <w:rPr>
                <w:rFonts w:ascii="Tw Cen MT" w:hAnsi="Tw Cen MT" w:cs="Arial"/>
                <w:lang w:val="en-US"/>
              </w:rPr>
              <w:t xml:space="preserve">. </w:t>
            </w:r>
          </w:p>
        </w:tc>
      </w:tr>
      <w:tr w:rsidR="007A1E82" w:rsidRPr="00A9365E" w14:paraId="1335FF02"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27A12956" w14:textId="368DFE1D" w:rsidR="007A1E82" w:rsidRPr="00A9365E" w:rsidRDefault="36452F1A"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Bank </w:t>
            </w:r>
            <w:r w:rsidR="4597FD77" w:rsidRPr="06F10F4C">
              <w:rPr>
                <w:rFonts w:ascii="Tw Cen MT" w:hAnsi="Tw Cen MT" w:cs="Arial"/>
                <w:color w:val="000000" w:themeColor="text1"/>
                <w:lang w:val="en-US"/>
              </w:rPr>
              <w:t>g</w:t>
            </w:r>
            <w:r w:rsidRPr="06F10F4C">
              <w:rPr>
                <w:rFonts w:ascii="Tw Cen MT" w:hAnsi="Tw Cen MT" w:cs="Arial"/>
                <w:color w:val="000000" w:themeColor="text1"/>
                <w:lang w:val="en-US"/>
              </w:rPr>
              <w:t>uarantee</w:t>
            </w:r>
          </w:p>
        </w:tc>
        <w:tc>
          <w:tcPr>
            <w:tcW w:w="1926" w:type="pct"/>
            <w:tcBorders>
              <w:top w:val="single" w:sz="8" w:space="0" w:color="000000" w:themeColor="text1"/>
              <w:bottom w:val="single" w:sz="8" w:space="0" w:color="000000" w:themeColor="text1"/>
              <w:right w:val="nil"/>
            </w:tcBorders>
            <w:shd w:val="clear" w:color="auto" w:fill="auto"/>
          </w:tcPr>
          <w:p w14:paraId="6CBB84DB" w14:textId="24B944AC" w:rsidR="007A1E82" w:rsidRPr="00291D71" w:rsidRDefault="007A1E82" w:rsidP="007A1E82">
            <w:pPr>
              <w:numPr>
                <w:ilvl w:val="0"/>
                <w:numId w:val="2"/>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2A743403">
              <w:rPr>
                <w:rFonts w:ascii="Tw Cen MT" w:eastAsia="Interstate-Light" w:hAnsi="Tw Cen MT" w:cs="Arial"/>
                <w:color w:val="000000" w:themeColor="text1"/>
                <w:lang w:val="en-US"/>
              </w:rPr>
              <w:t>Waived</w:t>
            </w:r>
            <w:r w:rsidR="1C700A4F" w:rsidRPr="2A743403">
              <w:rPr>
                <w:rFonts w:ascii="Tw Cen MT" w:eastAsia="Interstate-Light" w:hAnsi="Tw Cen MT" w:cs="Arial"/>
                <w:color w:val="000000" w:themeColor="text1"/>
                <w:lang w:val="en-US"/>
              </w:rPr>
              <w:t xml:space="preserve"> only when a Bank guarantee can't be obtained from the customer. </w:t>
            </w:r>
          </w:p>
        </w:tc>
        <w:tc>
          <w:tcPr>
            <w:tcW w:w="2318" w:type="pct"/>
            <w:tcBorders>
              <w:top w:val="single" w:sz="8" w:space="0" w:color="000000" w:themeColor="text1"/>
              <w:bottom w:val="single" w:sz="8" w:space="0" w:color="000000" w:themeColor="text1"/>
              <w:right w:val="nil"/>
            </w:tcBorders>
            <w:shd w:val="clear" w:color="auto" w:fill="E1E7F0"/>
          </w:tcPr>
          <w:p w14:paraId="7B065069" w14:textId="0DE22C04" w:rsidR="001069E7" w:rsidRPr="00A9365E" w:rsidRDefault="007A1E82" w:rsidP="2A74340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eastAsia="zh-CN"/>
              </w:rPr>
            </w:pPr>
            <w:r w:rsidRPr="2A743403">
              <w:rPr>
                <w:rFonts w:ascii="Tw Cen MT" w:eastAsia="Interstate-Light" w:hAnsi="Tw Cen MT" w:cs="Arial"/>
                <w:color w:val="000000" w:themeColor="text1"/>
                <w:lang w:val="en-US"/>
              </w:rPr>
              <w:t>N</w:t>
            </w:r>
            <w:r w:rsidRPr="2A743403">
              <w:rPr>
                <w:rFonts w:ascii="Tw Cen MT" w:eastAsia="Interstate-Light" w:hAnsi="Tw Cen MT" w:cs="Arial"/>
                <w:color w:val="000000" w:themeColor="text1"/>
                <w:lang w:val="en-US" w:eastAsia="zh-CN"/>
              </w:rPr>
              <w:t xml:space="preserve">ormally, a DER developer would require the customer </w:t>
            </w:r>
            <w:r w:rsidR="39E32FF7" w:rsidRPr="2A743403">
              <w:rPr>
                <w:rFonts w:ascii="Tw Cen MT" w:eastAsia="Interstate-Light" w:hAnsi="Tw Cen MT" w:cs="Arial"/>
                <w:color w:val="000000" w:themeColor="text1"/>
                <w:lang w:val="en-US" w:eastAsia="zh-CN"/>
              </w:rPr>
              <w:t>to provide a</w:t>
            </w:r>
            <w:r w:rsidRPr="2A743403">
              <w:rPr>
                <w:rFonts w:ascii="Tw Cen MT" w:eastAsia="Interstate-Light" w:hAnsi="Tw Cen MT" w:cs="Arial"/>
                <w:color w:val="000000" w:themeColor="text1"/>
                <w:lang w:val="en-US" w:eastAsia="zh-CN"/>
              </w:rPr>
              <w:t xml:space="preserve"> bank guarantee </w:t>
            </w:r>
            <w:r w:rsidR="04F50754" w:rsidRPr="2A743403">
              <w:rPr>
                <w:rFonts w:ascii="Tw Cen MT" w:eastAsia="Interstate-Light" w:hAnsi="Tw Cen MT" w:cs="Arial"/>
                <w:color w:val="000000" w:themeColor="text1"/>
                <w:lang w:val="en-US" w:eastAsia="zh-CN"/>
              </w:rPr>
              <w:t>as payment security</w:t>
            </w:r>
            <w:r w:rsidRPr="2A743403">
              <w:rPr>
                <w:rFonts w:ascii="Tw Cen MT" w:eastAsia="Interstate-Light" w:hAnsi="Tw Cen MT" w:cs="Arial"/>
                <w:color w:val="000000" w:themeColor="text1"/>
                <w:lang w:val="en-US" w:eastAsia="zh-CN"/>
              </w:rPr>
              <w:t xml:space="preserve">. Utilities would often require payment security from </w:t>
            </w:r>
            <w:r w:rsidR="58DBBBA7" w:rsidRPr="2A743403">
              <w:rPr>
                <w:rFonts w:ascii="Tw Cen MT" w:eastAsia="Interstate-Light" w:hAnsi="Tw Cen MT" w:cs="Arial"/>
                <w:color w:val="000000" w:themeColor="text1"/>
                <w:lang w:val="en-US" w:eastAsia="zh-CN"/>
              </w:rPr>
              <w:t>the developer as a customer</w:t>
            </w:r>
            <w:r w:rsidRPr="2A743403">
              <w:rPr>
                <w:rFonts w:ascii="Tw Cen MT" w:eastAsia="Interstate-Light" w:hAnsi="Tw Cen MT" w:cs="Arial"/>
                <w:color w:val="000000" w:themeColor="text1"/>
                <w:lang w:val="en-US" w:eastAsia="zh-CN"/>
              </w:rPr>
              <w:t xml:space="preserve">. </w:t>
            </w:r>
            <w:r w:rsidR="1B22C886" w:rsidRPr="2A743403">
              <w:rPr>
                <w:rFonts w:ascii="Tw Cen MT" w:eastAsia="Interstate-Light" w:hAnsi="Tw Cen MT" w:cs="Arial"/>
                <w:color w:val="000000" w:themeColor="text1"/>
                <w:lang w:val="en-US" w:eastAsia="zh-CN"/>
              </w:rPr>
              <w:t xml:space="preserve">Payment guarantees must be for the utility and the developer obtained from the customer as the blended tariff is used for payment. </w:t>
            </w:r>
          </w:p>
          <w:p w14:paraId="3D3EF94C" w14:textId="409E6B25" w:rsidR="001069E7" w:rsidRPr="00A9365E" w:rsidRDefault="007A1E82" w:rsidP="2A74340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eastAsia="zh-CN"/>
              </w:rPr>
            </w:pPr>
            <w:r w:rsidRPr="2A743403">
              <w:rPr>
                <w:rFonts w:ascii="Tw Cen MT" w:eastAsia="Interstate-Light" w:hAnsi="Tw Cen MT" w:cs="Arial"/>
                <w:color w:val="000000" w:themeColor="text1"/>
                <w:lang w:val="en-US" w:eastAsia="zh-CN"/>
              </w:rPr>
              <w:t xml:space="preserve">In this case, </w:t>
            </w:r>
            <w:r w:rsidR="7492D6DC" w:rsidRPr="2A743403">
              <w:rPr>
                <w:rFonts w:ascii="Tw Cen MT" w:eastAsia="Interstate-Light" w:hAnsi="Tw Cen MT" w:cs="Arial"/>
                <w:color w:val="000000" w:themeColor="text1"/>
                <w:lang w:val="en-US" w:eastAsia="zh-CN"/>
              </w:rPr>
              <w:t>it is essential that</w:t>
            </w:r>
            <w:r w:rsidRPr="2A743403">
              <w:rPr>
                <w:rFonts w:ascii="Tw Cen MT" w:eastAsia="Interstate-Light" w:hAnsi="Tw Cen MT" w:cs="Arial"/>
                <w:color w:val="000000" w:themeColor="text1"/>
                <w:lang w:val="en-US" w:eastAsia="zh-CN"/>
              </w:rPr>
              <w:t xml:space="preserve"> utility and the developer view each other as </w:t>
            </w:r>
            <w:r w:rsidRPr="2A743403">
              <w:rPr>
                <w:rFonts w:ascii="Tw Cen MT" w:eastAsia="Interstate-Light" w:hAnsi="Tw Cen MT" w:cs="Arial"/>
                <w:b/>
                <w:bCs/>
                <w:color w:val="000000" w:themeColor="text1"/>
                <w:lang w:val="en-US" w:eastAsia="zh-CN"/>
              </w:rPr>
              <w:t>partners</w:t>
            </w:r>
            <w:r w:rsidRPr="2A743403">
              <w:rPr>
                <w:rFonts w:ascii="Tw Cen MT" w:eastAsia="Interstate-Light" w:hAnsi="Tw Cen MT" w:cs="Arial"/>
                <w:color w:val="000000" w:themeColor="text1"/>
                <w:lang w:val="en-US" w:eastAsia="zh-CN"/>
              </w:rPr>
              <w:t xml:space="preserve"> and</w:t>
            </w:r>
            <w:r w:rsidR="382E2E40" w:rsidRPr="2A743403">
              <w:rPr>
                <w:rFonts w:ascii="Tw Cen MT" w:eastAsia="Interstate-Light" w:hAnsi="Tw Cen MT" w:cs="Arial"/>
                <w:color w:val="000000" w:themeColor="text1"/>
                <w:lang w:val="en-US" w:eastAsia="zh-CN"/>
              </w:rPr>
              <w:t xml:space="preserve"> </w:t>
            </w:r>
            <w:proofErr w:type="gramStart"/>
            <w:r w:rsidR="382E2E40" w:rsidRPr="2A743403">
              <w:rPr>
                <w:rFonts w:ascii="Tw Cen MT" w:eastAsia="Interstate-Light" w:hAnsi="Tw Cen MT" w:cs="Arial"/>
                <w:color w:val="000000" w:themeColor="text1"/>
                <w:lang w:val="en-US" w:eastAsia="zh-CN"/>
              </w:rPr>
              <w:t>opened</w:t>
            </w:r>
            <w:proofErr w:type="gramEnd"/>
            <w:r w:rsidR="382E2E40" w:rsidRPr="2A743403">
              <w:rPr>
                <w:rFonts w:ascii="Tw Cen MT" w:eastAsia="Interstate-Light" w:hAnsi="Tw Cen MT" w:cs="Arial"/>
                <w:color w:val="000000" w:themeColor="text1"/>
                <w:lang w:val="en-US" w:eastAsia="zh-CN"/>
              </w:rPr>
              <w:t xml:space="preserve"> to waive bank </w:t>
            </w:r>
            <w:r w:rsidRPr="2A743403">
              <w:rPr>
                <w:rFonts w:ascii="Tw Cen MT" w:eastAsia="Interstate-Light" w:hAnsi="Tw Cen MT" w:cs="Arial"/>
                <w:color w:val="000000" w:themeColor="text1"/>
                <w:lang w:val="en-US" w:eastAsia="zh-CN"/>
              </w:rPr>
              <w:t>guarantee requirements</w:t>
            </w:r>
            <w:r w:rsidR="512BBDEF" w:rsidRPr="2A743403">
              <w:rPr>
                <w:rFonts w:ascii="Tw Cen MT" w:eastAsia="Interstate-Light" w:hAnsi="Tw Cen MT" w:cs="Arial"/>
                <w:color w:val="000000" w:themeColor="text1"/>
                <w:lang w:val="en-US" w:eastAsia="zh-CN"/>
              </w:rPr>
              <w:t xml:space="preserve"> under these conditions. </w:t>
            </w:r>
          </w:p>
          <w:p w14:paraId="7B2724B9" w14:textId="7414CE0A" w:rsidR="007A1E82" w:rsidRPr="00A9365E" w:rsidRDefault="512BBDEF" w:rsidP="2A743403">
            <w:pPr>
              <w:pStyle w:val="ListParagraph"/>
              <w:numPr>
                <w:ilvl w:val="0"/>
                <w:numId w:val="1"/>
              </w:numPr>
              <w:spacing w:before="60" w:after="60"/>
              <w:jc w:val="both"/>
              <w:cnfStyle w:val="000000100000" w:firstRow="0" w:lastRow="0" w:firstColumn="0" w:lastColumn="0" w:oddVBand="0" w:evenVBand="0" w:oddHBand="1" w:evenHBand="0" w:firstRowFirstColumn="0" w:firstRowLastColumn="0" w:lastRowFirstColumn="0" w:lastRowLastColumn="0"/>
              <w:rPr>
                <w:rFonts w:eastAsia="Interstate-Light" w:cs="Arial"/>
                <w:color w:val="000000" w:themeColor="text1"/>
                <w:lang w:val="en-US" w:eastAsia="zh-CN"/>
              </w:rPr>
            </w:pPr>
            <w:r w:rsidRPr="2A743403">
              <w:rPr>
                <w:rFonts w:eastAsia="Interstate-Light" w:cs="Arial"/>
                <w:color w:val="000000" w:themeColor="text1"/>
                <w:lang w:val="en-US" w:eastAsia="zh-CN"/>
              </w:rPr>
              <w:t xml:space="preserve">The developer cannot secure customer bank guarantees as the customer does not provide such security </w:t>
            </w:r>
            <w:r w:rsidR="08817096" w:rsidRPr="2A743403">
              <w:rPr>
                <w:rFonts w:eastAsia="Interstate-Light" w:cs="Arial"/>
                <w:color w:val="000000" w:themeColor="text1"/>
                <w:lang w:val="en-US" w:eastAsia="zh-CN"/>
              </w:rPr>
              <w:t xml:space="preserve">but a creditworthy customer </w:t>
            </w:r>
            <w:r w:rsidRPr="2A743403">
              <w:rPr>
                <w:rFonts w:eastAsia="Interstate-Light" w:cs="Arial"/>
                <w:color w:val="000000" w:themeColor="text1"/>
                <w:lang w:val="en-US" w:eastAsia="zh-CN"/>
              </w:rPr>
              <w:t xml:space="preserve"> </w:t>
            </w:r>
          </w:p>
          <w:p w14:paraId="070749CC" w14:textId="65C6A0F9" w:rsidR="007A1E82" w:rsidRPr="00A9365E" w:rsidRDefault="3E0989C6" w:rsidP="2A743403">
            <w:pPr>
              <w:pStyle w:val="ListParagraph"/>
              <w:numPr>
                <w:ilvl w:val="0"/>
                <w:numId w:val="1"/>
              </w:numPr>
              <w:spacing w:before="60" w:after="60"/>
              <w:jc w:val="both"/>
              <w:cnfStyle w:val="000000100000" w:firstRow="0" w:lastRow="0" w:firstColumn="0" w:lastColumn="0" w:oddVBand="0" w:evenVBand="0" w:oddHBand="1" w:evenHBand="0" w:firstRowFirstColumn="0" w:firstRowLastColumn="0" w:lastRowFirstColumn="0" w:lastRowLastColumn="0"/>
              <w:rPr>
                <w:rFonts w:eastAsia="Interstate-Light" w:cs="Arial"/>
                <w:color w:val="000000" w:themeColor="text1"/>
                <w:lang w:val="en-US" w:eastAsia="zh-CN"/>
              </w:rPr>
            </w:pPr>
            <w:r w:rsidRPr="2A743403">
              <w:rPr>
                <w:rFonts w:eastAsia="Interstate-Light" w:cs="Arial"/>
                <w:color w:val="000000" w:themeColor="text1"/>
                <w:lang w:val="en-US" w:eastAsia="zh-CN"/>
              </w:rPr>
              <w:t>The developer</w:t>
            </w:r>
            <w:r w:rsidR="536F506D" w:rsidRPr="2A743403">
              <w:rPr>
                <w:rFonts w:eastAsia="Interstate-Light" w:cs="Arial"/>
                <w:color w:val="000000" w:themeColor="text1"/>
                <w:lang w:val="en-US" w:eastAsia="zh-CN"/>
              </w:rPr>
              <w:t xml:space="preserve"> meets certain </w:t>
            </w:r>
            <w:r w:rsidR="007A1E82" w:rsidRPr="2A743403">
              <w:rPr>
                <w:rFonts w:eastAsia="Interstate-Light" w:cs="Arial"/>
                <w:color w:val="000000" w:themeColor="text1"/>
                <w:lang w:val="en-US" w:eastAsia="zh-CN"/>
              </w:rPr>
              <w:t xml:space="preserve">criteria such as good credit and financial </w:t>
            </w:r>
            <w:r w:rsidR="78AD2AA4" w:rsidRPr="2A743403">
              <w:rPr>
                <w:rFonts w:eastAsia="Interstate-Light" w:cs="Arial"/>
                <w:color w:val="000000" w:themeColor="text1"/>
                <w:lang w:val="en-US" w:eastAsia="zh-CN"/>
              </w:rPr>
              <w:t>standing</w:t>
            </w:r>
            <w:r w:rsidR="007A1E82" w:rsidRPr="2A743403">
              <w:rPr>
                <w:rFonts w:eastAsia="Interstate-Light" w:cs="Arial"/>
                <w:color w:val="000000" w:themeColor="text1"/>
                <w:lang w:val="en-US" w:eastAsia="zh-CN"/>
              </w:rPr>
              <w:t xml:space="preserve"> and </w:t>
            </w:r>
            <w:r w:rsidR="6F331B79" w:rsidRPr="2A743403">
              <w:rPr>
                <w:rFonts w:eastAsia="Interstate-Light" w:cs="Arial"/>
                <w:color w:val="000000" w:themeColor="text1"/>
                <w:lang w:val="en-US" w:eastAsia="zh-CN"/>
              </w:rPr>
              <w:t xml:space="preserve">the agreement with the utility </w:t>
            </w:r>
            <w:proofErr w:type="gramStart"/>
            <w:r w:rsidR="6F331B79" w:rsidRPr="2A743403">
              <w:rPr>
                <w:rFonts w:eastAsia="Interstate-Light" w:cs="Arial"/>
                <w:color w:val="000000" w:themeColor="text1"/>
                <w:lang w:val="en-US" w:eastAsia="zh-CN"/>
              </w:rPr>
              <w:t>include</w:t>
            </w:r>
            <w:proofErr w:type="gramEnd"/>
            <w:r w:rsidR="6F331B79" w:rsidRPr="2A743403">
              <w:rPr>
                <w:rFonts w:eastAsia="Interstate-Light" w:cs="Arial"/>
                <w:color w:val="000000" w:themeColor="text1"/>
                <w:lang w:val="en-US" w:eastAsia="zh-CN"/>
              </w:rPr>
              <w:t xml:space="preserve"> </w:t>
            </w:r>
            <w:r w:rsidR="007A1E82" w:rsidRPr="2A743403">
              <w:rPr>
                <w:rFonts w:eastAsia="Interstate-Light" w:cs="Arial"/>
                <w:color w:val="000000" w:themeColor="text1"/>
                <w:lang w:val="en-US" w:eastAsia="zh-CN"/>
              </w:rPr>
              <w:t xml:space="preserve">terms </w:t>
            </w:r>
            <w:r w:rsidR="007A1E82" w:rsidRPr="2A743403">
              <w:rPr>
                <w:rFonts w:eastAsia="Interstate-Light" w:cs="Arial"/>
                <w:color w:val="000000" w:themeColor="text1"/>
                <w:lang w:val="en-US" w:eastAsia="zh-CN"/>
              </w:rPr>
              <w:lastRenderedPageBreak/>
              <w:t>t</w:t>
            </w:r>
            <w:r w:rsidR="7F64A494" w:rsidRPr="2A743403">
              <w:rPr>
                <w:rFonts w:eastAsia="Interstate-Light" w:cs="Arial"/>
                <w:color w:val="000000" w:themeColor="text1"/>
                <w:lang w:val="en-US" w:eastAsia="zh-CN"/>
              </w:rPr>
              <w:t>hat</w:t>
            </w:r>
            <w:r w:rsidR="007A1E82" w:rsidRPr="2A743403">
              <w:rPr>
                <w:rFonts w:eastAsia="Interstate-Light" w:cs="Arial"/>
                <w:color w:val="000000" w:themeColor="text1"/>
                <w:lang w:val="en-US" w:eastAsia="zh-CN"/>
              </w:rPr>
              <w:t xml:space="preserve"> allow</w:t>
            </w:r>
            <w:r w:rsidR="73A768B5" w:rsidRPr="2A743403">
              <w:rPr>
                <w:rFonts w:eastAsia="Interstate-Light" w:cs="Arial"/>
                <w:color w:val="000000" w:themeColor="text1"/>
                <w:lang w:val="en-US" w:eastAsia="zh-CN"/>
              </w:rPr>
              <w:t>s</w:t>
            </w:r>
            <w:r w:rsidR="007A1E82" w:rsidRPr="2A743403">
              <w:rPr>
                <w:rFonts w:eastAsia="Interstate-Light" w:cs="Arial"/>
                <w:color w:val="000000" w:themeColor="text1"/>
                <w:lang w:val="en-US" w:eastAsia="zh-CN"/>
              </w:rPr>
              <w:t xml:space="preserve"> the utility to directly bill the customer if the developer misses consecutive payments</w:t>
            </w:r>
            <w:r w:rsidR="40BE3FD4" w:rsidRPr="2A743403">
              <w:rPr>
                <w:rFonts w:eastAsia="Interstate-Light" w:cs="Arial"/>
                <w:color w:val="000000" w:themeColor="text1"/>
                <w:lang w:val="en-US" w:eastAsia="zh-CN"/>
              </w:rPr>
              <w:t>.</w:t>
            </w:r>
          </w:p>
          <w:p w14:paraId="464A588E" w14:textId="117A7747" w:rsidR="007A1E82" w:rsidRPr="00A9365E" w:rsidRDefault="007A1E82" w:rsidP="2A74340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eastAsia="zh-CN"/>
              </w:rPr>
            </w:pPr>
          </w:p>
          <w:p w14:paraId="70E4C3BC" w14:textId="17A7218F" w:rsidR="007A1E82" w:rsidRPr="00A9365E" w:rsidRDefault="609BFD58" w:rsidP="2A74340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eastAsia="zh-CN"/>
              </w:rPr>
            </w:pPr>
            <w:r w:rsidRPr="2A743403">
              <w:rPr>
                <w:rFonts w:ascii="Tw Cen MT" w:eastAsia="Interstate-Light" w:hAnsi="Tw Cen MT" w:cs="Arial"/>
                <w:color w:val="000000" w:themeColor="text1"/>
                <w:lang w:val="en-US" w:eastAsia="zh-CN"/>
              </w:rPr>
              <w:t>Developers</w:t>
            </w:r>
            <w:r w:rsidR="6EB0729A" w:rsidRPr="2A743403">
              <w:rPr>
                <w:rFonts w:ascii="Tw Cen MT" w:eastAsia="Interstate-Light" w:hAnsi="Tw Cen MT" w:cs="Arial"/>
                <w:color w:val="000000" w:themeColor="text1"/>
                <w:lang w:val="en-US" w:eastAsia="zh-CN"/>
              </w:rPr>
              <w:t xml:space="preserve"> will also need to </w:t>
            </w:r>
            <w:r w:rsidR="007A1E82" w:rsidRPr="2A743403">
              <w:rPr>
                <w:rFonts w:ascii="Tw Cen MT" w:eastAsia="Interstate-Light" w:hAnsi="Tw Cen MT" w:cs="Arial"/>
                <w:color w:val="000000" w:themeColor="text1"/>
                <w:lang w:val="en-US" w:eastAsia="zh-CN"/>
              </w:rPr>
              <w:t xml:space="preserve">consider </w:t>
            </w:r>
            <w:r w:rsidR="28B40D53" w:rsidRPr="2A743403">
              <w:rPr>
                <w:rFonts w:ascii="Tw Cen MT" w:eastAsia="Interstate-Light" w:hAnsi="Tw Cen MT" w:cs="Arial"/>
                <w:color w:val="000000" w:themeColor="text1"/>
                <w:lang w:val="en-US" w:eastAsia="zh-CN"/>
              </w:rPr>
              <w:t>requesting</w:t>
            </w:r>
            <w:r w:rsidR="5045CE0E" w:rsidRPr="2A743403">
              <w:rPr>
                <w:rFonts w:ascii="Tw Cen MT" w:eastAsia="Interstate-Light" w:hAnsi="Tw Cen MT" w:cs="Arial"/>
                <w:color w:val="000000" w:themeColor="text1"/>
                <w:lang w:val="en-US" w:eastAsia="zh-CN"/>
              </w:rPr>
              <w:t xml:space="preserve"> </w:t>
            </w:r>
            <w:r w:rsidR="007A1E82" w:rsidRPr="2A743403">
              <w:rPr>
                <w:rFonts w:ascii="Tw Cen MT" w:eastAsia="Interstate-Light" w:hAnsi="Tw Cen MT" w:cs="Arial"/>
                <w:color w:val="000000" w:themeColor="text1"/>
                <w:lang w:val="en-US" w:eastAsia="zh-CN"/>
              </w:rPr>
              <w:t>payment security f</w:t>
            </w:r>
            <w:r w:rsidR="6C38E1FE" w:rsidRPr="2A743403">
              <w:rPr>
                <w:rFonts w:ascii="Tw Cen MT" w:eastAsia="Interstate-Light" w:hAnsi="Tw Cen MT" w:cs="Arial"/>
                <w:color w:val="000000" w:themeColor="text1"/>
                <w:lang w:val="en-US" w:eastAsia="zh-CN"/>
              </w:rPr>
              <w:t>rom</w:t>
            </w:r>
            <w:r w:rsidR="007A1E82" w:rsidRPr="2A743403">
              <w:rPr>
                <w:rFonts w:ascii="Tw Cen MT" w:eastAsia="Interstate-Light" w:hAnsi="Tw Cen MT" w:cs="Arial"/>
                <w:color w:val="000000" w:themeColor="text1"/>
                <w:lang w:val="en-US" w:eastAsia="zh-CN"/>
              </w:rPr>
              <w:t xml:space="preserve"> customers</w:t>
            </w:r>
            <w:r w:rsidR="1E6EE90A" w:rsidRPr="2A743403">
              <w:rPr>
                <w:rFonts w:ascii="Tw Cen MT" w:eastAsia="Interstate-Light" w:hAnsi="Tw Cen MT" w:cs="Arial"/>
                <w:color w:val="000000" w:themeColor="text1"/>
                <w:lang w:val="en-US" w:eastAsia="zh-CN"/>
              </w:rPr>
              <w:t xml:space="preserve"> that covers the total energy cost with customers that have p</w:t>
            </w:r>
            <w:r w:rsidR="007A1E82" w:rsidRPr="2A743403">
              <w:rPr>
                <w:rFonts w:ascii="Tw Cen MT" w:eastAsia="Interstate-Light" w:hAnsi="Tw Cen MT" w:cs="Arial"/>
                <w:color w:val="000000" w:themeColor="text1"/>
                <w:lang w:val="en-US" w:eastAsia="zh-CN"/>
              </w:rPr>
              <w:t>oor payment records</w:t>
            </w:r>
            <w:r w:rsidR="09E3340C" w:rsidRPr="2A743403">
              <w:rPr>
                <w:rFonts w:ascii="Tw Cen MT" w:eastAsia="Interstate-Light" w:hAnsi="Tw Cen MT" w:cs="Arial"/>
                <w:color w:val="000000" w:themeColor="text1"/>
                <w:lang w:val="en-US" w:eastAsia="zh-CN"/>
              </w:rPr>
              <w:t xml:space="preserve"> with the utilities</w:t>
            </w:r>
            <w:r w:rsidR="1F2C887F" w:rsidRPr="2A743403">
              <w:rPr>
                <w:rFonts w:ascii="Tw Cen MT" w:eastAsia="Interstate-Light" w:hAnsi="Tw Cen MT" w:cs="Arial"/>
                <w:color w:val="000000" w:themeColor="text1"/>
                <w:lang w:val="en-US" w:eastAsia="zh-CN"/>
              </w:rPr>
              <w:t xml:space="preserve">. To </w:t>
            </w:r>
            <w:r w:rsidR="09E3340C" w:rsidRPr="2A743403">
              <w:rPr>
                <w:rFonts w:ascii="Tw Cen MT" w:eastAsia="Interstate-Light" w:hAnsi="Tw Cen MT" w:cs="Arial"/>
                <w:color w:val="000000" w:themeColor="text1"/>
                <w:lang w:val="en-US" w:eastAsia="zh-CN"/>
              </w:rPr>
              <w:t>ensure</w:t>
            </w:r>
            <w:r w:rsidR="71DCA13F" w:rsidRPr="2A743403">
              <w:rPr>
                <w:rFonts w:ascii="Tw Cen MT" w:eastAsia="Interstate-Light" w:hAnsi="Tw Cen MT" w:cs="Arial"/>
                <w:color w:val="000000" w:themeColor="text1"/>
                <w:lang w:val="en-US" w:eastAsia="zh-CN"/>
              </w:rPr>
              <w:t xml:space="preserve"> </w:t>
            </w:r>
            <w:r w:rsidR="09E3340C" w:rsidRPr="2A743403">
              <w:rPr>
                <w:rFonts w:ascii="Tw Cen MT" w:eastAsia="Interstate-Light" w:hAnsi="Tw Cen MT" w:cs="Arial"/>
                <w:color w:val="000000" w:themeColor="text1"/>
                <w:lang w:val="en-US" w:eastAsia="zh-CN"/>
              </w:rPr>
              <w:t>payment</w:t>
            </w:r>
            <w:r w:rsidR="756C80D6" w:rsidRPr="2A743403">
              <w:rPr>
                <w:rFonts w:ascii="Tw Cen MT" w:eastAsia="Interstate-Light" w:hAnsi="Tw Cen MT" w:cs="Arial"/>
                <w:color w:val="000000" w:themeColor="text1"/>
                <w:lang w:val="en-US" w:eastAsia="zh-CN"/>
              </w:rPr>
              <w:t xml:space="preserve"> it should be required that all utilities debts are paid prior to procurement of DER solution</w:t>
            </w:r>
          </w:p>
        </w:tc>
      </w:tr>
      <w:tr w:rsidR="00D97397" w:rsidRPr="00A9365E" w14:paraId="3B51D9C2" w14:textId="77777777" w:rsidTr="0417647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6E73542E" w14:textId="4B4D3634" w:rsidR="00D97397" w:rsidRPr="00E72559" w:rsidRDefault="00E72559" w:rsidP="007A1E82">
            <w:pPr>
              <w:spacing w:before="60" w:after="60"/>
              <w:rPr>
                <w:rFonts w:ascii="Tw Cen MT" w:hAnsi="Tw Cen MT" w:cs="Arial"/>
                <w:color w:val="000000" w:themeColor="text1"/>
                <w:lang w:val="en-US"/>
              </w:rPr>
            </w:pPr>
            <w:r w:rsidRPr="00E72559">
              <w:rPr>
                <w:rFonts w:ascii="Tw Cen MT" w:hAnsi="Tw Cen MT" w:cs="Arial"/>
                <w:color w:val="000000" w:themeColor="text1"/>
                <w:lang w:val="en-US"/>
              </w:rPr>
              <w:lastRenderedPageBreak/>
              <w:t xml:space="preserve">Project Implementation account </w:t>
            </w:r>
          </w:p>
        </w:tc>
        <w:tc>
          <w:tcPr>
            <w:tcW w:w="1926" w:type="pct"/>
            <w:tcBorders>
              <w:top w:val="single" w:sz="8" w:space="0" w:color="000000" w:themeColor="text1"/>
              <w:bottom w:val="single" w:sz="8" w:space="0" w:color="000000" w:themeColor="text1"/>
              <w:right w:val="nil"/>
            </w:tcBorders>
            <w:shd w:val="clear" w:color="auto" w:fill="auto"/>
          </w:tcPr>
          <w:p w14:paraId="597149F7" w14:textId="3135D1D9" w:rsidR="00D97397" w:rsidRPr="00E72559" w:rsidRDefault="00E72559" w:rsidP="007A1E82">
            <w:pPr>
              <w:numPr>
                <w:ilvl w:val="0"/>
                <w:numId w:val="2"/>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E72559">
              <w:rPr>
                <w:rFonts w:ascii="Tw Cen MT" w:eastAsia="Interstate-Light" w:hAnsi="Tw Cen MT" w:cs="Arial"/>
                <w:color w:val="000000" w:themeColor="text1"/>
                <w:lang w:val="en-US"/>
              </w:rPr>
              <w:t xml:space="preserve">Optional </w:t>
            </w:r>
          </w:p>
        </w:tc>
        <w:tc>
          <w:tcPr>
            <w:tcW w:w="2318" w:type="pct"/>
            <w:tcBorders>
              <w:top w:val="single" w:sz="8" w:space="0" w:color="000000" w:themeColor="text1"/>
              <w:bottom w:val="single" w:sz="8" w:space="0" w:color="000000" w:themeColor="text1"/>
              <w:right w:val="nil"/>
            </w:tcBorders>
            <w:shd w:val="clear" w:color="auto" w:fill="E1E7F0"/>
          </w:tcPr>
          <w:p w14:paraId="65E79DD3" w14:textId="6C82A708" w:rsidR="00D97397" w:rsidRDefault="000A66EF"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 xml:space="preserve">The </w:t>
            </w:r>
            <w:r w:rsidR="00840291">
              <w:rPr>
                <w:rFonts w:ascii="Tw Cen MT" w:eastAsia="Interstate-Light" w:hAnsi="Tw Cen MT" w:cs="Arial"/>
                <w:color w:val="000000" w:themeColor="text1"/>
                <w:lang w:val="en-US"/>
              </w:rPr>
              <w:t>utility</w:t>
            </w:r>
            <w:r>
              <w:rPr>
                <w:rFonts w:ascii="Tw Cen MT" w:eastAsia="Interstate-Light" w:hAnsi="Tw Cen MT" w:cs="Arial"/>
                <w:color w:val="000000" w:themeColor="text1"/>
                <w:lang w:val="en-US"/>
              </w:rPr>
              <w:t xml:space="preserve"> </w:t>
            </w:r>
            <w:r w:rsidR="008A7ECA">
              <w:rPr>
                <w:rFonts w:ascii="Tw Cen MT" w:eastAsia="Interstate-Light" w:hAnsi="Tw Cen MT" w:cs="Arial"/>
                <w:color w:val="000000" w:themeColor="text1"/>
                <w:lang w:val="en-US"/>
              </w:rPr>
              <w:t xml:space="preserve">can propose for the developer to have a dedicated project account for the deployment of the project. </w:t>
            </w:r>
            <w:r w:rsidR="00293141">
              <w:rPr>
                <w:rFonts w:ascii="Tw Cen MT" w:eastAsia="Interstate-Light" w:hAnsi="Tw Cen MT" w:cs="Arial"/>
                <w:color w:val="000000" w:themeColor="text1"/>
                <w:lang w:val="en-US"/>
              </w:rPr>
              <w:t xml:space="preserve">This is to ensure </w:t>
            </w:r>
            <w:r w:rsidR="004C398C">
              <w:rPr>
                <w:rFonts w:ascii="Tw Cen MT" w:eastAsia="Interstate-Light" w:hAnsi="Tw Cen MT" w:cs="Arial"/>
                <w:color w:val="000000" w:themeColor="text1"/>
                <w:lang w:val="en-US"/>
              </w:rPr>
              <w:t>that the required funds for the project are</w:t>
            </w:r>
            <w:r w:rsidR="00D164CD">
              <w:rPr>
                <w:rFonts w:ascii="Tw Cen MT" w:eastAsia="Interstate-Light" w:hAnsi="Tw Cen MT" w:cs="Arial"/>
                <w:color w:val="000000" w:themeColor="text1"/>
                <w:lang w:val="en-US"/>
              </w:rPr>
              <w:t xml:space="preserve"> made available to ensure rapid </w:t>
            </w:r>
            <w:proofErr w:type="spellStart"/>
            <w:r w:rsidR="00D164CD">
              <w:rPr>
                <w:rFonts w:ascii="Tw Cen MT" w:eastAsia="Interstate-Light" w:hAnsi="Tw Cen MT" w:cs="Arial"/>
                <w:color w:val="000000" w:themeColor="text1"/>
                <w:lang w:val="en-US"/>
              </w:rPr>
              <w:t>implementa</w:t>
            </w:r>
            <w:proofErr w:type="spellEnd"/>
            <w:r w:rsidR="00D164CD">
              <w:rPr>
                <w:rFonts w:ascii="Tw Cen MT" w:eastAsia="Interstate-Light" w:hAnsi="Tw Cen MT" w:cs="Arial"/>
                <w:color w:val="000000" w:themeColor="text1"/>
              </w:rPr>
              <w:t>tion</w:t>
            </w:r>
            <w:r w:rsidR="00D164CD">
              <w:rPr>
                <w:rFonts w:ascii="Tw Cen MT" w:eastAsia="Interstate-Light" w:hAnsi="Tw Cen MT" w:cs="Arial"/>
                <w:color w:val="000000" w:themeColor="text1"/>
                <w:lang w:val="en-US"/>
              </w:rPr>
              <w:t xml:space="preserve">. </w:t>
            </w:r>
            <w:r w:rsidR="00DE3E6E">
              <w:rPr>
                <w:rFonts w:ascii="Tw Cen MT" w:eastAsia="Interstate-Light" w:hAnsi="Tw Cen MT" w:cs="Arial"/>
                <w:color w:val="000000" w:themeColor="text1"/>
                <w:lang w:val="en-US"/>
              </w:rPr>
              <w:t xml:space="preserve">The </w:t>
            </w:r>
            <w:r w:rsidR="004F3F9F">
              <w:rPr>
                <w:rFonts w:ascii="Tw Cen MT" w:eastAsia="Interstate-Light" w:hAnsi="Tw Cen MT" w:cs="Arial"/>
                <w:color w:val="000000" w:themeColor="text1"/>
                <w:lang w:val="en-US"/>
              </w:rPr>
              <w:t xml:space="preserve">developer will be required to provide project funding structure including when the funds will be available to </w:t>
            </w:r>
            <w:r w:rsidR="002309E3">
              <w:rPr>
                <w:rFonts w:ascii="Tw Cen MT" w:eastAsia="Interstate-Light" w:hAnsi="Tw Cen MT" w:cs="Arial"/>
                <w:color w:val="000000" w:themeColor="text1"/>
                <w:lang w:val="en-US"/>
              </w:rPr>
              <w:t xml:space="preserve">dedicated account to </w:t>
            </w:r>
            <w:r w:rsidR="004F3F9F">
              <w:rPr>
                <w:rFonts w:ascii="Tw Cen MT" w:eastAsia="Interstate-Light" w:hAnsi="Tw Cen MT" w:cs="Arial"/>
                <w:color w:val="000000" w:themeColor="text1"/>
                <w:lang w:val="en-US"/>
              </w:rPr>
              <w:t>ensure implementation.</w:t>
            </w:r>
          </w:p>
          <w:p w14:paraId="3D277EEA" w14:textId="77777777" w:rsidR="004F3F9F" w:rsidRDefault="004F3F9F"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70B38E09" w14:textId="01447958" w:rsidR="004F3F9F" w:rsidRDefault="00CA268A"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During</w:t>
            </w:r>
            <w:r w:rsidR="004F3F9F">
              <w:rPr>
                <w:rFonts w:ascii="Tw Cen MT" w:eastAsia="Interstate-Light" w:hAnsi="Tw Cen MT" w:cs="Arial"/>
                <w:color w:val="000000" w:themeColor="text1"/>
                <w:lang w:val="en-US"/>
              </w:rPr>
              <w:t xml:space="preserve"> the project the </w:t>
            </w:r>
            <w:r w:rsidR="00840291">
              <w:rPr>
                <w:rFonts w:ascii="Tw Cen MT" w:eastAsia="Interstate-Light" w:hAnsi="Tw Cen MT" w:cs="Arial"/>
                <w:color w:val="000000" w:themeColor="text1"/>
                <w:lang w:val="en-US"/>
              </w:rPr>
              <w:t>utility</w:t>
            </w:r>
            <w:r w:rsidR="009C685D">
              <w:rPr>
                <w:rFonts w:ascii="Tw Cen MT" w:eastAsia="Interstate-Light" w:hAnsi="Tw Cen MT" w:cs="Arial"/>
                <w:color w:val="000000" w:themeColor="text1"/>
                <w:lang w:val="en-US"/>
              </w:rPr>
              <w:t xml:space="preserve"> can </w:t>
            </w:r>
            <w:proofErr w:type="gramStart"/>
            <w:r w:rsidR="009C685D">
              <w:rPr>
                <w:rFonts w:ascii="Tw Cen MT" w:eastAsia="Interstate-Light" w:hAnsi="Tw Cen MT" w:cs="Arial"/>
                <w:color w:val="000000" w:themeColor="text1"/>
                <w:lang w:val="en-US"/>
              </w:rPr>
              <w:t>request for</w:t>
            </w:r>
            <w:proofErr w:type="gramEnd"/>
            <w:r w:rsidR="009C685D">
              <w:rPr>
                <w:rFonts w:ascii="Tw Cen MT" w:eastAsia="Interstate-Light" w:hAnsi="Tw Cen MT" w:cs="Arial"/>
                <w:color w:val="000000" w:themeColor="text1"/>
                <w:lang w:val="en-US"/>
              </w:rPr>
              <w:t xml:space="preserve"> a bank letter to validate </w:t>
            </w:r>
            <w:r w:rsidR="002309E3">
              <w:rPr>
                <w:rFonts w:ascii="Tw Cen MT" w:eastAsia="Interstate-Light" w:hAnsi="Tw Cen MT" w:cs="Arial"/>
                <w:color w:val="000000" w:themeColor="text1"/>
                <w:lang w:val="en-US"/>
              </w:rPr>
              <w:t xml:space="preserve">availability of funds. </w:t>
            </w:r>
            <w:r w:rsidR="00840291">
              <w:rPr>
                <w:rFonts w:ascii="Tw Cen MT" w:eastAsia="Interstate-Light" w:hAnsi="Tw Cen MT" w:cs="Arial"/>
                <w:color w:val="000000" w:themeColor="text1"/>
                <w:lang w:val="en-US"/>
              </w:rPr>
              <w:t>No</w:t>
            </w:r>
            <w:r w:rsidR="002309E3">
              <w:rPr>
                <w:rFonts w:ascii="Tw Cen MT" w:eastAsia="Interstate-Light" w:hAnsi="Tw Cen MT" w:cs="Arial"/>
                <w:color w:val="000000" w:themeColor="text1"/>
                <w:lang w:val="en-US"/>
              </w:rPr>
              <w:t xml:space="preserve"> </w:t>
            </w:r>
            <w:proofErr w:type="spellStart"/>
            <w:r w:rsidR="00182C50">
              <w:rPr>
                <w:rFonts w:ascii="Tw Cen MT" w:eastAsia="Interstate-Light" w:hAnsi="Tw Cen MT" w:cs="Arial"/>
                <w:color w:val="000000" w:themeColor="text1"/>
                <w:lang w:val="en-US"/>
              </w:rPr>
              <w:t>availabilit</w:t>
            </w:r>
            <w:proofErr w:type="spellEnd"/>
            <w:r w:rsidR="00182C50">
              <w:rPr>
                <w:rFonts w:ascii="Tw Cen MT" w:eastAsia="Interstate-Light" w:hAnsi="Tw Cen MT" w:cs="Arial"/>
                <w:color w:val="000000" w:themeColor="text1"/>
              </w:rPr>
              <w:t>y</w:t>
            </w:r>
            <w:r w:rsidR="002309E3">
              <w:rPr>
                <w:rFonts w:ascii="Tw Cen MT" w:eastAsia="Interstate-Light" w:hAnsi="Tw Cen MT" w:cs="Arial"/>
                <w:color w:val="000000" w:themeColor="text1"/>
                <w:lang w:val="en-US"/>
              </w:rPr>
              <w:t xml:space="preserve"> of funds without providing</w:t>
            </w:r>
            <w:r w:rsidR="00462672">
              <w:rPr>
                <w:rFonts w:ascii="Tw Cen MT" w:eastAsia="Interstate-Light" w:hAnsi="Tw Cen MT" w:cs="Arial"/>
                <w:color w:val="000000" w:themeColor="text1"/>
                <w:lang w:val="en-US"/>
              </w:rPr>
              <w:t xml:space="preserve"> </w:t>
            </w:r>
            <w:r w:rsidR="00840291">
              <w:rPr>
                <w:rFonts w:ascii="Tw Cen MT" w:eastAsia="Interstate-Light" w:hAnsi="Tw Cen MT" w:cs="Arial"/>
                <w:color w:val="000000" w:themeColor="text1"/>
                <w:lang w:val="en-US"/>
              </w:rPr>
              <w:t xml:space="preserve">the </w:t>
            </w:r>
            <w:r w:rsidR="00840291" w:rsidRPr="00840291">
              <w:rPr>
                <w:rFonts w:ascii="Tw Cen MT" w:eastAsia="Interstate-Light" w:hAnsi="Tw Cen MT" w:cs="Arial"/>
                <w:color w:val="000000" w:themeColor="text1"/>
                <w:lang w:val="en-US"/>
              </w:rPr>
              <w:t>adjusted</w:t>
            </w:r>
            <w:r w:rsidR="002309E3">
              <w:rPr>
                <w:rFonts w:ascii="Tw Cen MT" w:eastAsia="Interstate-Light" w:hAnsi="Tw Cen MT" w:cs="Arial"/>
                <w:color w:val="000000" w:themeColor="text1"/>
                <w:lang w:val="en-US"/>
              </w:rPr>
              <w:t xml:space="preserve"> timeline</w:t>
            </w:r>
            <w:r w:rsidR="00FD2538">
              <w:rPr>
                <w:rFonts w:ascii="Tw Cen MT" w:eastAsia="Interstate-Light" w:hAnsi="Tw Cen MT" w:cs="Arial"/>
                <w:color w:val="000000" w:themeColor="text1"/>
                <w:lang w:val="en-US"/>
              </w:rPr>
              <w:t xml:space="preserve"> and how the risk will be mitigated</w:t>
            </w:r>
            <w:r w:rsidR="002309E3">
              <w:rPr>
                <w:rFonts w:ascii="Tw Cen MT" w:eastAsia="Interstate-Light" w:hAnsi="Tw Cen MT" w:cs="Arial"/>
                <w:color w:val="000000" w:themeColor="text1"/>
                <w:lang w:val="en-US"/>
              </w:rPr>
              <w:t xml:space="preserve"> to the </w:t>
            </w:r>
            <w:r w:rsidR="00840291">
              <w:rPr>
                <w:rFonts w:ascii="Tw Cen MT" w:eastAsia="Interstate-Light" w:hAnsi="Tw Cen MT" w:cs="Arial"/>
                <w:color w:val="000000" w:themeColor="text1"/>
                <w:lang w:val="en-US"/>
              </w:rPr>
              <w:t>utility</w:t>
            </w:r>
            <w:r w:rsidR="002309E3">
              <w:rPr>
                <w:rFonts w:ascii="Tw Cen MT" w:eastAsia="Interstate-Light" w:hAnsi="Tw Cen MT" w:cs="Arial"/>
                <w:color w:val="000000" w:themeColor="text1"/>
                <w:lang w:val="en-US"/>
              </w:rPr>
              <w:t xml:space="preserve"> could</w:t>
            </w:r>
            <w:r w:rsidR="00182C50">
              <w:rPr>
                <w:rFonts w:ascii="Tw Cen MT" w:eastAsia="Interstate-Light" w:hAnsi="Tw Cen MT" w:cs="Arial"/>
                <w:color w:val="000000" w:themeColor="text1"/>
                <w:lang w:val="en-US"/>
              </w:rPr>
              <w:t xml:space="preserve"> lead</w:t>
            </w:r>
            <w:r w:rsidR="002309E3">
              <w:rPr>
                <w:rFonts w:ascii="Tw Cen MT" w:eastAsia="Interstate-Light" w:hAnsi="Tw Cen MT" w:cs="Arial"/>
                <w:color w:val="000000" w:themeColor="text1"/>
                <w:lang w:val="en-US"/>
              </w:rPr>
              <w:t xml:space="preserve"> </w:t>
            </w:r>
            <w:r w:rsidR="003B5C27">
              <w:rPr>
                <w:rFonts w:ascii="Tw Cen MT" w:eastAsia="Interstate-Light" w:hAnsi="Tw Cen MT" w:cs="Arial"/>
                <w:color w:val="000000" w:themeColor="text1"/>
                <w:lang w:val="en-US"/>
              </w:rPr>
              <w:t>to</w:t>
            </w:r>
            <w:r w:rsidR="00182C50">
              <w:rPr>
                <w:rFonts w:ascii="Tw Cen MT" w:eastAsia="Interstate-Light" w:hAnsi="Tw Cen MT" w:cs="Arial"/>
                <w:color w:val="000000" w:themeColor="text1"/>
                <w:lang w:val="en-US"/>
              </w:rPr>
              <w:t xml:space="preserve"> liquidated damages or</w:t>
            </w:r>
            <w:r w:rsidR="003B5C27">
              <w:rPr>
                <w:rFonts w:ascii="Tw Cen MT" w:eastAsia="Interstate-Light" w:hAnsi="Tw Cen MT" w:cs="Arial"/>
                <w:color w:val="000000" w:themeColor="text1"/>
                <w:lang w:val="en-US"/>
              </w:rPr>
              <w:t xml:space="preserve"> </w:t>
            </w:r>
            <w:r w:rsidR="00182C50">
              <w:rPr>
                <w:rFonts w:ascii="Tw Cen MT" w:eastAsia="Interstate-Light" w:hAnsi="Tw Cen MT" w:cs="Arial"/>
                <w:color w:val="000000" w:themeColor="text1"/>
                <w:lang w:val="en-US"/>
              </w:rPr>
              <w:t xml:space="preserve">termination of the agreement depending on the lack of funds impact to project timeline. </w:t>
            </w:r>
          </w:p>
          <w:p w14:paraId="0CC3C482" w14:textId="77777777" w:rsidR="001E4F2F" w:rsidRDefault="001E4F2F"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41E06F4A" w14:textId="7E2726B2" w:rsidR="001E4F2F" w:rsidRDefault="00FD2538"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 xml:space="preserve">For timeline adjusted by an additional 3 months will lead to liquidated damages of 50% of the estimated premium fee per day. As the </w:t>
            </w:r>
            <w:r w:rsidR="00840291">
              <w:rPr>
                <w:rFonts w:ascii="Tw Cen MT" w:eastAsia="Interstate-Light" w:hAnsi="Tw Cen MT" w:cs="Arial"/>
                <w:color w:val="000000" w:themeColor="text1"/>
                <w:lang w:val="en-US"/>
              </w:rPr>
              <w:t>utility</w:t>
            </w:r>
            <w:r>
              <w:rPr>
                <w:rFonts w:ascii="Tw Cen MT" w:eastAsia="Interstate-Light" w:hAnsi="Tw Cen MT" w:cs="Arial"/>
                <w:color w:val="000000" w:themeColor="text1"/>
                <w:lang w:val="en-US"/>
              </w:rPr>
              <w:t xml:space="preserve"> will not be able to obtain this additional fee due to </w:t>
            </w:r>
            <w:proofErr w:type="gramStart"/>
            <w:r>
              <w:rPr>
                <w:rFonts w:ascii="Tw Cen MT" w:eastAsia="Interstate-Light" w:hAnsi="Tw Cen MT" w:cs="Arial"/>
                <w:color w:val="000000" w:themeColor="text1"/>
                <w:lang w:val="en-US"/>
              </w:rPr>
              <w:t>project</w:t>
            </w:r>
            <w:proofErr w:type="gramEnd"/>
            <w:r>
              <w:rPr>
                <w:rFonts w:ascii="Tw Cen MT" w:eastAsia="Interstate-Light" w:hAnsi="Tw Cen MT" w:cs="Arial"/>
                <w:color w:val="000000" w:themeColor="text1"/>
                <w:lang w:val="en-US"/>
              </w:rPr>
              <w:t xml:space="preserve"> delay. </w:t>
            </w:r>
          </w:p>
          <w:p w14:paraId="3B4BF166" w14:textId="77777777" w:rsidR="00FD2538" w:rsidRDefault="00FD2538"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6A2F8017" w14:textId="7CCB1C1A" w:rsidR="00FD2538" w:rsidRPr="00E72559" w:rsidRDefault="00FD2538"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Pr>
                <w:rFonts w:ascii="Tw Cen MT" w:eastAsia="Interstate-Light" w:hAnsi="Tw Cen MT" w:cs="Arial"/>
                <w:color w:val="000000" w:themeColor="text1"/>
                <w:lang w:val="en-US"/>
              </w:rPr>
              <w:t xml:space="preserve">For timeline adjusted by an additional 6 months will lead to the </w:t>
            </w:r>
            <w:r w:rsidR="00DD4723">
              <w:rPr>
                <w:rFonts w:ascii="Tw Cen MT" w:eastAsia="Interstate-Light" w:hAnsi="Tw Cen MT" w:cs="Arial"/>
                <w:color w:val="000000" w:themeColor="text1"/>
                <w:lang w:val="en-US"/>
              </w:rPr>
              <w:t xml:space="preserve">termination </w:t>
            </w:r>
            <w:r>
              <w:rPr>
                <w:rFonts w:ascii="Tw Cen MT" w:eastAsia="Interstate-Light" w:hAnsi="Tw Cen MT" w:cs="Arial"/>
                <w:color w:val="000000" w:themeColor="text1"/>
                <w:lang w:val="en-US"/>
              </w:rPr>
              <w:t xml:space="preserve">of the agreement. </w:t>
            </w:r>
            <w:r w:rsidR="00FD4494">
              <w:rPr>
                <w:rFonts w:ascii="Tw Cen MT" w:eastAsia="Interstate-Light" w:hAnsi="Tw Cen MT" w:cs="Arial"/>
                <w:color w:val="000000" w:themeColor="text1"/>
                <w:lang w:val="en-US"/>
              </w:rPr>
              <w:t xml:space="preserve">50% of the estimated premium fee per day will be used to discount </w:t>
            </w:r>
            <w:r w:rsidR="00DD4723">
              <w:rPr>
                <w:rFonts w:ascii="Tw Cen MT" w:eastAsia="Interstate-Light" w:hAnsi="Tw Cen MT" w:cs="Arial"/>
                <w:color w:val="000000" w:themeColor="text1"/>
                <w:lang w:val="en-US"/>
              </w:rPr>
              <w:t xml:space="preserve">the </w:t>
            </w:r>
            <w:r w:rsidR="00E37D43">
              <w:rPr>
                <w:rFonts w:ascii="Tw Cen MT" w:eastAsia="Interstate-Light" w:hAnsi="Tw Cen MT" w:cs="Arial"/>
                <w:color w:val="000000" w:themeColor="text1"/>
                <w:lang w:val="en-US"/>
              </w:rPr>
              <w:t>network improvement cost sp</w:t>
            </w:r>
            <w:r w:rsidR="00693EEA">
              <w:rPr>
                <w:rFonts w:ascii="Tw Cen MT" w:eastAsia="Interstate-Light" w:hAnsi="Tw Cen MT" w:cs="Arial"/>
                <w:color w:val="000000" w:themeColor="text1"/>
                <w:lang w:val="en-US"/>
              </w:rPr>
              <w:t xml:space="preserve">ent on improving the </w:t>
            </w:r>
            <w:r w:rsidR="00840291">
              <w:rPr>
                <w:rFonts w:ascii="Tw Cen MT" w:eastAsia="Interstate-Light" w:hAnsi="Tw Cen MT" w:cs="Arial"/>
                <w:color w:val="000000" w:themeColor="text1"/>
                <w:lang w:val="en-US"/>
              </w:rPr>
              <w:t>utility</w:t>
            </w:r>
            <w:r w:rsidR="00DD4723">
              <w:rPr>
                <w:rFonts w:ascii="Tw Cen MT" w:eastAsia="Interstate-Light" w:hAnsi="Tw Cen MT" w:cs="Arial"/>
                <w:color w:val="000000" w:themeColor="text1"/>
                <w:lang w:val="en-US"/>
              </w:rPr>
              <w:t xml:space="preserve"> </w:t>
            </w:r>
            <w:r w:rsidR="00693EEA">
              <w:rPr>
                <w:rFonts w:ascii="Tw Cen MT" w:eastAsia="Interstate-Light" w:hAnsi="Tw Cen MT" w:cs="Arial"/>
                <w:color w:val="000000" w:themeColor="text1"/>
                <w:lang w:val="en-US"/>
              </w:rPr>
              <w:t>network</w:t>
            </w:r>
            <w:r w:rsidR="00DD4723">
              <w:rPr>
                <w:rFonts w:ascii="Tw Cen MT" w:eastAsia="Interstate-Light" w:hAnsi="Tw Cen MT" w:cs="Arial"/>
                <w:color w:val="000000" w:themeColor="text1"/>
                <w:lang w:val="en-US"/>
              </w:rPr>
              <w:t xml:space="preserve"> </w:t>
            </w:r>
            <w:r w:rsidR="00CA268A">
              <w:rPr>
                <w:rFonts w:ascii="Tw Cen MT" w:eastAsia="Interstate-Light" w:hAnsi="Tw Cen MT" w:cs="Arial"/>
                <w:color w:val="000000" w:themeColor="text1"/>
                <w:lang w:val="en-US"/>
              </w:rPr>
              <w:t>to improve the grid supply to the selected customer</w:t>
            </w:r>
          </w:p>
        </w:tc>
      </w:tr>
      <w:tr w:rsidR="00B50782" w:rsidRPr="00A9365E" w14:paraId="1911D6A3" w14:textId="77777777" w:rsidTr="04176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hemeColor="text1"/>
              <w:left w:val="nil"/>
              <w:bottom w:val="single" w:sz="8" w:space="0" w:color="000000" w:themeColor="text1"/>
            </w:tcBorders>
            <w:shd w:val="clear" w:color="auto" w:fill="auto"/>
          </w:tcPr>
          <w:p w14:paraId="74981294" w14:textId="005A6AE4" w:rsidR="00B50782" w:rsidRPr="00A9365E" w:rsidRDefault="0D5BA323" w:rsidP="007A1E82">
            <w:pPr>
              <w:spacing w:before="60" w:after="60"/>
              <w:rPr>
                <w:rFonts w:ascii="Tw Cen MT" w:hAnsi="Tw Cen MT" w:cs="Arial"/>
                <w:color w:val="000000" w:themeColor="text1"/>
                <w:lang w:val="en-US"/>
              </w:rPr>
            </w:pPr>
            <w:r w:rsidRPr="06F10F4C">
              <w:rPr>
                <w:rFonts w:ascii="Tw Cen MT" w:hAnsi="Tw Cen MT" w:cs="Arial"/>
                <w:color w:val="000000" w:themeColor="text1"/>
                <w:lang w:val="en-US"/>
              </w:rPr>
              <w:t xml:space="preserve">Interconnection </w:t>
            </w:r>
            <w:r w:rsidR="227CD024" w:rsidRPr="06F10F4C">
              <w:rPr>
                <w:rFonts w:ascii="Tw Cen MT" w:hAnsi="Tw Cen MT" w:cs="Arial"/>
                <w:color w:val="000000" w:themeColor="text1"/>
                <w:lang w:val="en-US"/>
              </w:rPr>
              <w:t>p</w:t>
            </w:r>
            <w:r w:rsidRPr="06F10F4C">
              <w:rPr>
                <w:rFonts w:ascii="Tw Cen MT" w:hAnsi="Tw Cen MT" w:cs="Arial"/>
                <w:color w:val="000000" w:themeColor="text1"/>
                <w:lang w:val="en-US"/>
              </w:rPr>
              <w:t xml:space="preserve">lan </w:t>
            </w:r>
          </w:p>
        </w:tc>
        <w:tc>
          <w:tcPr>
            <w:tcW w:w="1926" w:type="pct"/>
            <w:tcBorders>
              <w:top w:val="single" w:sz="8" w:space="0" w:color="000000" w:themeColor="text1"/>
              <w:bottom w:val="single" w:sz="8" w:space="0" w:color="000000" w:themeColor="text1"/>
              <w:right w:val="nil"/>
            </w:tcBorders>
            <w:shd w:val="clear" w:color="auto" w:fill="auto"/>
          </w:tcPr>
          <w:p w14:paraId="090DAB9C" w14:textId="4AB339DC" w:rsidR="00B50782" w:rsidRPr="00A9365E" w:rsidRDefault="00357467" w:rsidP="007A1E82">
            <w:pPr>
              <w:numPr>
                <w:ilvl w:val="0"/>
                <w:numId w:val="2"/>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A9365E">
              <w:rPr>
                <w:rFonts w:ascii="Tw Cen MT" w:eastAsia="Interstate-Light" w:hAnsi="Tw Cen MT" w:cs="Arial"/>
                <w:color w:val="000000" w:themeColor="text1"/>
                <w:lang w:val="en-US"/>
              </w:rPr>
              <w:t>As part of the s</w:t>
            </w:r>
            <w:r w:rsidR="003B2B1A" w:rsidRPr="00A9365E">
              <w:rPr>
                <w:rFonts w:ascii="Tw Cen MT" w:eastAsia="Interstate-Light" w:hAnsi="Tw Cen MT" w:cs="Arial"/>
                <w:color w:val="000000" w:themeColor="text1"/>
                <w:lang w:val="en-US"/>
              </w:rPr>
              <w:t>chedules</w:t>
            </w:r>
            <w:r w:rsidR="005C2187" w:rsidRPr="00A9365E">
              <w:rPr>
                <w:rFonts w:ascii="Tw Cen MT" w:eastAsia="Interstate-Light" w:hAnsi="Tw Cen MT" w:cs="Arial"/>
                <w:color w:val="000000" w:themeColor="text1"/>
                <w:lang w:val="en-US"/>
              </w:rPr>
              <w:t xml:space="preserve">, the operators </w:t>
            </w:r>
            <w:r w:rsidR="0099162F">
              <w:rPr>
                <w:rFonts w:ascii="Tw Cen MT" w:eastAsia="Interstate-Light" w:hAnsi="Tw Cen MT" w:cs="Arial"/>
                <w:color w:val="000000" w:themeColor="text1"/>
                <w:lang w:val="en-US"/>
              </w:rPr>
              <w:t>are</w:t>
            </w:r>
            <w:r w:rsidR="005C2187" w:rsidRPr="00A9365E">
              <w:rPr>
                <w:rFonts w:ascii="Tw Cen MT" w:eastAsia="Interstate-Light" w:hAnsi="Tw Cen MT" w:cs="Arial"/>
                <w:color w:val="000000" w:themeColor="text1"/>
                <w:lang w:val="en-US"/>
              </w:rPr>
              <w:t xml:space="preserve"> required to include the </w:t>
            </w:r>
            <w:r w:rsidR="00231A31" w:rsidRPr="00A9365E">
              <w:rPr>
                <w:rFonts w:ascii="Tw Cen MT" w:eastAsia="Interstate-Light" w:hAnsi="Tw Cen MT" w:cs="Arial"/>
                <w:color w:val="000000" w:themeColor="text1"/>
                <w:lang w:val="en-US"/>
              </w:rPr>
              <w:t>s</w:t>
            </w:r>
            <w:r w:rsidR="005C2187" w:rsidRPr="00A9365E">
              <w:rPr>
                <w:rFonts w:ascii="Tw Cen MT" w:eastAsia="Interstate-Light" w:hAnsi="Tw Cen MT" w:cs="Arial"/>
                <w:color w:val="000000" w:themeColor="text1"/>
                <w:lang w:val="en-US"/>
              </w:rPr>
              <w:t>chematic</w:t>
            </w:r>
            <w:r w:rsidR="00A4374D" w:rsidRPr="00A9365E">
              <w:rPr>
                <w:rFonts w:ascii="Tw Cen MT" w:eastAsia="Interstate-Light" w:hAnsi="Tw Cen MT" w:cs="Arial"/>
                <w:color w:val="000000" w:themeColor="text1"/>
                <w:lang w:val="en-US"/>
              </w:rPr>
              <w:t>,</w:t>
            </w:r>
            <w:r w:rsidR="005C2187" w:rsidRPr="00A9365E">
              <w:rPr>
                <w:rFonts w:ascii="Tw Cen MT" w:eastAsia="Interstate-Light" w:hAnsi="Tw Cen MT" w:cs="Arial"/>
                <w:color w:val="000000" w:themeColor="text1"/>
                <w:lang w:val="en-US"/>
              </w:rPr>
              <w:t xml:space="preserve"> single-line diagram</w:t>
            </w:r>
            <w:r w:rsidR="0099162F">
              <w:rPr>
                <w:rFonts w:ascii="Tw Cen MT" w:eastAsia="Interstate-Light" w:hAnsi="Tw Cen MT" w:cs="Arial"/>
                <w:color w:val="000000" w:themeColor="text1"/>
                <w:lang w:val="en-US"/>
              </w:rPr>
              <w:t>,</w:t>
            </w:r>
            <w:r w:rsidR="00A4374D" w:rsidRPr="00A9365E">
              <w:rPr>
                <w:rFonts w:ascii="Tw Cen MT" w:eastAsia="Interstate-Light" w:hAnsi="Tw Cen MT" w:cs="Arial"/>
                <w:color w:val="000000" w:themeColor="text1"/>
                <w:lang w:val="en-US"/>
              </w:rPr>
              <w:t xml:space="preserve"> and </w:t>
            </w:r>
            <w:r w:rsidR="00913328" w:rsidRPr="00A9365E">
              <w:rPr>
                <w:rFonts w:ascii="Tw Cen MT" w:eastAsia="Interstate-Light" w:hAnsi="Tw Cen MT" w:cs="Arial"/>
                <w:color w:val="000000" w:themeColor="text1"/>
                <w:lang w:val="en-US"/>
              </w:rPr>
              <w:t>responsibilities of the parties</w:t>
            </w:r>
            <w:r w:rsidR="00311FAE" w:rsidRPr="00A9365E">
              <w:rPr>
                <w:rFonts w:ascii="Tw Cen MT" w:eastAsia="Interstate-Light" w:hAnsi="Tw Cen MT" w:cs="Arial"/>
                <w:color w:val="000000" w:themeColor="text1"/>
                <w:lang w:val="en-US"/>
              </w:rPr>
              <w:t xml:space="preserve"> which will be stated as </w:t>
            </w:r>
            <w:r w:rsidR="0099162F">
              <w:rPr>
                <w:rFonts w:ascii="Tw Cen MT" w:eastAsia="Interstate-Light" w:hAnsi="Tw Cen MT" w:cs="Arial"/>
                <w:color w:val="000000" w:themeColor="text1"/>
                <w:lang w:val="en-US"/>
              </w:rPr>
              <w:t xml:space="preserve">a </w:t>
            </w:r>
            <w:r w:rsidR="00311FAE" w:rsidRPr="00A9365E">
              <w:rPr>
                <w:rFonts w:ascii="Tw Cen MT" w:eastAsia="Interstate-Light" w:hAnsi="Tw Cen MT" w:cs="Arial"/>
                <w:color w:val="000000" w:themeColor="text1"/>
                <w:lang w:val="en-US"/>
              </w:rPr>
              <w:t xml:space="preserve">condition precedent. </w:t>
            </w:r>
          </w:p>
        </w:tc>
        <w:tc>
          <w:tcPr>
            <w:tcW w:w="2318" w:type="pct"/>
            <w:tcBorders>
              <w:top w:val="single" w:sz="8" w:space="0" w:color="000000" w:themeColor="text1"/>
              <w:bottom w:val="single" w:sz="8" w:space="0" w:color="000000" w:themeColor="text1"/>
              <w:right w:val="nil"/>
            </w:tcBorders>
            <w:shd w:val="clear" w:color="auto" w:fill="E1E7F0"/>
          </w:tcPr>
          <w:p w14:paraId="7326DD9D" w14:textId="4837F9E1" w:rsidR="003028DA" w:rsidRPr="00A9365E" w:rsidRDefault="00E8128F"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developer </w:t>
            </w:r>
            <w:r w:rsidR="00985D58" w:rsidRPr="00A9365E">
              <w:rPr>
                <w:rFonts w:ascii="Tw Cen MT" w:eastAsia="Interstate-Light" w:hAnsi="Tw Cen MT" w:cs="Arial"/>
                <w:color w:val="000000" w:themeColor="text1"/>
                <w:lang w:val="en-US"/>
              </w:rPr>
              <w:t>can</w:t>
            </w:r>
            <w:r w:rsidRPr="00A9365E">
              <w:rPr>
                <w:rFonts w:ascii="Tw Cen MT" w:eastAsia="Interstate-Light" w:hAnsi="Tw Cen MT" w:cs="Arial"/>
                <w:color w:val="000000" w:themeColor="text1"/>
                <w:lang w:val="en-US"/>
              </w:rPr>
              <w:t xml:space="preserve"> present </w:t>
            </w:r>
            <w:r w:rsidR="005E7C94" w:rsidRPr="00A9365E">
              <w:rPr>
                <w:rFonts w:ascii="Tw Cen MT" w:eastAsia="Interstate-Light" w:hAnsi="Tw Cen MT" w:cs="Arial"/>
                <w:color w:val="000000" w:themeColor="text1"/>
                <w:lang w:val="en-US"/>
              </w:rPr>
              <w:t xml:space="preserve">its proposed interconnection plan which will illustrate how the DER will </w:t>
            </w:r>
            <w:r w:rsidR="00142841" w:rsidRPr="00A9365E">
              <w:rPr>
                <w:rFonts w:ascii="Tw Cen MT" w:eastAsia="Interstate-Light" w:hAnsi="Tw Cen MT" w:cs="Arial"/>
                <w:color w:val="000000" w:themeColor="text1"/>
                <w:lang w:val="en-US"/>
              </w:rPr>
              <w:t>be connected</w:t>
            </w:r>
            <w:r w:rsidR="005E7C94" w:rsidRPr="00A9365E">
              <w:rPr>
                <w:rFonts w:ascii="Tw Cen MT" w:eastAsia="Interstate-Light" w:hAnsi="Tw Cen MT" w:cs="Arial"/>
                <w:color w:val="000000" w:themeColor="text1"/>
                <w:lang w:val="en-US"/>
              </w:rPr>
              <w:t xml:space="preserve"> to the customer premises to deliver both </w:t>
            </w:r>
            <w:r w:rsidR="000B1727" w:rsidRPr="00A9365E">
              <w:rPr>
                <w:rFonts w:ascii="Tw Cen MT" w:eastAsia="Interstate-Light" w:hAnsi="Tw Cen MT" w:cs="Arial"/>
                <w:color w:val="000000" w:themeColor="text1"/>
                <w:lang w:val="en-US"/>
              </w:rPr>
              <w:t xml:space="preserve">DER and </w:t>
            </w:r>
            <w:r w:rsidR="001625F9" w:rsidRPr="00A9365E">
              <w:rPr>
                <w:rFonts w:ascii="Tw Cen MT" w:eastAsia="Interstate-Light" w:hAnsi="Tw Cen MT" w:cs="Arial"/>
                <w:color w:val="000000" w:themeColor="text1"/>
                <w:lang w:val="en-US"/>
              </w:rPr>
              <w:t xml:space="preserve">main </w:t>
            </w:r>
            <w:r w:rsidR="000B1727" w:rsidRPr="00A9365E">
              <w:rPr>
                <w:rFonts w:ascii="Tw Cen MT" w:eastAsia="Interstate-Light" w:hAnsi="Tw Cen MT" w:cs="Arial"/>
                <w:color w:val="000000" w:themeColor="text1"/>
                <w:lang w:val="en-US"/>
              </w:rPr>
              <w:t>grid energy</w:t>
            </w:r>
            <w:r w:rsidR="001625F9" w:rsidRPr="00A9365E">
              <w:rPr>
                <w:rFonts w:ascii="Tw Cen MT" w:eastAsia="Interstate-Light" w:hAnsi="Tw Cen MT" w:cs="Arial"/>
                <w:color w:val="000000" w:themeColor="text1"/>
                <w:lang w:val="en-US"/>
              </w:rPr>
              <w:t xml:space="preserve"> supply</w:t>
            </w:r>
            <w:r w:rsidR="000B1727" w:rsidRPr="00A9365E">
              <w:rPr>
                <w:rFonts w:ascii="Tw Cen MT" w:eastAsia="Interstate-Light" w:hAnsi="Tw Cen MT" w:cs="Arial"/>
                <w:color w:val="000000" w:themeColor="text1"/>
                <w:lang w:val="en-US"/>
              </w:rPr>
              <w:t xml:space="preserve">. </w:t>
            </w:r>
            <w:r w:rsidR="003028DA" w:rsidRPr="00A9365E">
              <w:rPr>
                <w:rFonts w:ascii="Tw Cen MT" w:eastAsia="Interstate-Light" w:hAnsi="Tw Cen MT" w:cs="Arial"/>
                <w:color w:val="000000" w:themeColor="text1"/>
                <w:lang w:val="en-US"/>
              </w:rPr>
              <w:t xml:space="preserve">It is also essential that both the </w:t>
            </w:r>
            <w:r w:rsidR="00A82F57" w:rsidRPr="00A9365E">
              <w:rPr>
                <w:rFonts w:ascii="Tw Cen MT" w:eastAsia="Interstate-Light" w:hAnsi="Tw Cen MT" w:cs="Arial"/>
                <w:color w:val="000000" w:themeColor="text1"/>
                <w:lang w:val="en-US"/>
              </w:rPr>
              <w:t>utility</w:t>
            </w:r>
            <w:r w:rsidR="003028DA" w:rsidRPr="00A9365E">
              <w:rPr>
                <w:rFonts w:ascii="Tw Cen MT" w:eastAsia="Interstate-Light" w:hAnsi="Tw Cen MT" w:cs="Arial"/>
                <w:color w:val="000000" w:themeColor="text1"/>
                <w:lang w:val="en-US"/>
              </w:rPr>
              <w:t xml:space="preserve"> and the developer agree on their responsibility as part of the interconnection plan. </w:t>
            </w:r>
          </w:p>
          <w:p w14:paraId="61CC5D6D" w14:textId="77777777" w:rsidR="003028DA" w:rsidRPr="00A9365E" w:rsidRDefault="003028DA"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2BB9AF72" w14:textId="49D0E2B1" w:rsidR="00504141" w:rsidRPr="00A9365E" w:rsidRDefault="00897D34"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w:t>
            </w:r>
            <w:r w:rsidR="009F5CF7" w:rsidRPr="00A9365E">
              <w:rPr>
                <w:rFonts w:ascii="Tw Cen MT" w:eastAsia="Interstate-Light" w:hAnsi="Tw Cen MT" w:cs="Arial"/>
                <w:color w:val="000000" w:themeColor="text1"/>
                <w:lang w:val="en-US"/>
              </w:rPr>
              <w:t xml:space="preserve">he role </w:t>
            </w:r>
            <w:r w:rsidR="002B7634" w:rsidRPr="00A9365E">
              <w:rPr>
                <w:rFonts w:ascii="Tw Cen MT" w:eastAsia="Interstate-Light" w:hAnsi="Tw Cen MT" w:cs="Arial"/>
                <w:color w:val="000000" w:themeColor="text1"/>
                <w:lang w:val="en-US"/>
              </w:rPr>
              <w:t xml:space="preserve">of the </w:t>
            </w:r>
            <w:r w:rsidR="00A82F57" w:rsidRPr="00A9365E">
              <w:rPr>
                <w:rFonts w:ascii="Tw Cen MT" w:eastAsia="Interstate-Light" w:hAnsi="Tw Cen MT" w:cs="Arial"/>
                <w:color w:val="000000" w:themeColor="text1"/>
                <w:lang w:val="en-US"/>
              </w:rPr>
              <w:t>utility</w:t>
            </w:r>
            <w:r w:rsidR="002B7634" w:rsidRPr="00A9365E">
              <w:rPr>
                <w:rFonts w:ascii="Tw Cen MT" w:eastAsia="Interstate-Light" w:hAnsi="Tw Cen MT" w:cs="Arial"/>
                <w:color w:val="000000" w:themeColor="text1"/>
                <w:lang w:val="en-US"/>
              </w:rPr>
              <w:t>, Developers</w:t>
            </w:r>
            <w:r w:rsidR="0040153D">
              <w:rPr>
                <w:rFonts w:ascii="Tw Cen MT" w:eastAsia="Interstate-Light" w:hAnsi="Tw Cen MT" w:cs="Arial"/>
                <w:color w:val="000000" w:themeColor="text1"/>
                <w:lang w:val="en-US"/>
              </w:rPr>
              <w:t>,</w:t>
            </w:r>
            <w:r w:rsidR="002B7634" w:rsidRPr="00A9365E">
              <w:rPr>
                <w:rFonts w:ascii="Tw Cen MT" w:eastAsia="Interstate-Light" w:hAnsi="Tw Cen MT" w:cs="Arial"/>
                <w:color w:val="000000" w:themeColor="text1"/>
                <w:lang w:val="en-US"/>
              </w:rPr>
              <w:t xml:space="preserve"> and customer </w:t>
            </w:r>
            <w:r w:rsidR="003867B5" w:rsidRPr="00A9365E">
              <w:rPr>
                <w:rFonts w:ascii="Tw Cen MT" w:eastAsia="Interstate-Light" w:hAnsi="Tw Cen MT" w:cs="Arial"/>
                <w:color w:val="000000" w:themeColor="text1"/>
                <w:lang w:val="en-US"/>
              </w:rPr>
              <w:t>are defined as Condition precedent</w:t>
            </w:r>
            <w:r w:rsidRPr="00A9365E">
              <w:rPr>
                <w:rFonts w:ascii="Tw Cen MT" w:eastAsia="Interstate-Light" w:hAnsi="Tw Cen MT" w:cs="Arial"/>
                <w:color w:val="000000" w:themeColor="text1"/>
                <w:lang w:val="en-US"/>
              </w:rPr>
              <w:t xml:space="preserve"> in the contract. </w:t>
            </w:r>
            <w:r w:rsidR="002B0A28" w:rsidRPr="00A9365E">
              <w:rPr>
                <w:rFonts w:ascii="Tw Cen MT" w:eastAsia="Interstate-Light" w:hAnsi="Tw Cen MT" w:cs="Arial"/>
                <w:color w:val="000000" w:themeColor="text1"/>
                <w:lang w:val="en-US"/>
              </w:rPr>
              <w:t xml:space="preserve">As most C&amp;I </w:t>
            </w:r>
            <w:r w:rsidR="0099162F">
              <w:rPr>
                <w:rFonts w:ascii="Tw Cen MT" w:eastAsia="Interstate-Light" w:hAnsi="Tw Cen MT" w:cs="Arial"/>
                <w:color w:val="000000" w:themeColor="text1"/>
                <w:lang w:val="en-US"/>
              </w:rPr>
              <w:t>contracts</w:t>
            </w:r>
            <w:r w:rsidR="002B0A28" w:rsidRPr="00A9365E">
              <w:rPr>
                <w:rFonts w:ascii="Tw Cen MT" w:eastAsia="Interstate-Light" w:hAnsi="Tw Cen MT" w:cs="Arial"/>
                <w:color w:val="000000" w:themeColor="text1"/>
                <w:lang w:val="en-US"/>
              </w:rPr>
              <w:t xml:space="preserve"> will focus on on-site solutions there will be cases for </w:t>
            </w:r>
            <w:r w:rsidR="00311FAE" w:rsidRPr="00A9365E">
              <w:rPr>
                <w:rFonts w:ascii="Tw Cen MT" w:eastAsia="Interstate-Light" w:hAnsi="Tw Cen MT" w:cs="Arial"/>
                <w:color w:val="000000" w:themeColor="text1"/>
                <w:lang w:val="en-US"/>
              </w:rPr>
              <w:t>off-site</w:t>
            </w:r>
            <w:r w:rsidR="002B0A28" w:rsidRPr="00A9365E">
              <w:rPr>
                <w:rFonts w:ascii="Tw Cen MT" w:eastAsia="Interstate-Light" w:hAnsi="Tw Cen MT" w:cs="Arial"/>
                <w:color w:val="000000" w:themeColor="text1"/>
                <w:lang w:val="en-US"/>
              </w:rPr>
              <w:t xml:space="preserve"> </w:t>
            </w:r>
            <w:r w:rsidR="0099162F">
              <w:rPr>
                <w:rFonts w:ascii="Tw Cen MT" w:eastAsia="Interstate-Light" w:hAnsi="Tw Cen MT" w:cs="Arial"/>
                <w:color w:val="000000" w:themeColor="text1"/>
                <w:lang w:val="en-US"/>
              </w:rPr>
              <w:t>solutions</w:t>
            </w:r>
            <w:r w:rsidR="00804386" w:rsidRPr="00A9365E">
              <w:rPr>
                <w:rFonts w:ascii="Tw Cen MT" w:eastAsia="Interstate-Light" w:hAnsi="Tw Cen MT" w:cs="Arial"/>
                <w:color w:val="000000" w:themeColor="text1"/>
                <w:lang w:val="en-US"/>
              </w:rPr>
              <w:t xml:space="preserve"> due to space availability and additional activities can be determined by </w:t>
            </w:r>
            <w:r w:rsidR="001468FE" w:rsidRPr="00A9365E">
              <w:rPr>
                <w:rFonts w:ascii="Tw Cen MT" w:eastAsia="Interstate-Light" w:hAnsi="Tw Cen MT" w:cs="Arial"/>
                <w:color w:val="000000" w:themeColor="text1"/>
                <w:lang w:val="en-US"/>
              </w:rPr>
              <w:t xml:space="preserve">the parties. For </w:t>
            </w:r>
            <w:r w:rsidR="00A82F57" w:rsidRPr="00A9365E">
              <w:rPr>
                <w:rFonts w:ascii="Tw Cen MT" w:eastAsia="Interstate-Light" w:hAnsi="Tw Cen MT" w:cs="Arial"/>
                <w:color w:val="000000" w:themeColor="text1"/>
                <w:lang w:val="en-US"/>
              </w:rPr>
              <w:t>instance</w:t>
            </w:r>
            <w:r w:rsidR="00A82F57" w:rsidRPr="00A9365E">
              <w:rPr>
                <w:rFonts w:ascii="Tw Cen MT" w:eastAsia="Interstate-Light" w:hAnsi="Tw Cen MT" w:cs="Arial"/>
                <w:color w:val="000000" w:themeColor="text1"/>
              </w:rPr>
              <w:t>,</w:t>
            </w:r>
            <w:r w:rsidR="001468FE" w:rsidRPr="00A9365E">
              <w:rPr>
                <w:rFonts w:ascii="Tw Cen MT" w:eastAsia="Interstate-Light" w:hAnsi="Tw Cen MT" w:cs="Arial"/>
                <w:color w:val="000000" w:themeColor="text1"/>
                <w:lang w:val="en-US"/>
              </w:rPr>
              <w:t xml:space="preserve"> key conditions that </w:t>
            </w:r>
            <w:r w:rsidR="002645C4">
              <w:rPr>
                <w:rFonts w:ascii="Tw Cen MT" w:eastAsia="Interstate-Light" w:hAnsi="Tw Cen MT" w:cs="Arial"/>
                <w:color w:val="000000" w:themeColor="text1"/>
                <w:lang w:val="en-US"/>
              </w:rPr>
              <w:t>are</w:t>
            </w:r>
            <w:r w:rsidR="001468FE" w:rsidRPr="00A9365E">
              <w:rPr>
                <w:rFonts w:ascii="Tw Cen MT" w:eastAsia="Interstate-Light" w:hAnsi="Tw Cen MT" w:cs="Arial"/>
                <w:color w:val="000000" w:themeColor="text1"/>
                <w:lang w:val="en-US"/>
              </w:rPr>
              <w:t xml:space="preserve"> identified </w:t>
            </w:r>
            <w:r w:rsidR="0099162F">
              <w:rPr>
                <w:rFonts w:ascii="Tw Cen MT" w:eastAsia="Interstate-Light" w:hAnsi="Tw Cen MT" w:cs="Arial"/>
                <w:color w:val="000000" w:themeColor="text1"/>
                <w:lang w:val="en-US"/>
              </w:rPr>
              <w:t>and</w:t>
            </w:r>
            <w:r w:rsidR="001468FE" w:rsidRPr="00A9365E">
              <w:rPr>
                <w:rFonts w:ascii="Tw Cen MT" w:eastAsia="Interstate-Light" w:hAnsi="Tw Cen MT" w:cs="Arial"/>
                <w:color w:val="000000" w:themeColor="text1"/>
                <w:lang w:val="en-US"/>
              </w:rPr>
              <w:t xml:space="preserve"> a</w:t>
            </w:r>
            <w:r w:rsidR="00066930" w:rsidRPr="00A9365E">
              <w:rPr>
                <w:rFonts w:ascii="Tw Cen MT" w:eastAsia="Interstate-Light" w:hAnsi="Tw Cen MT" w:cs="Arial"/>
                <w:color w:val="000000" w:themeColor="text1"/>
                <w:lang w:val="en-US"/>
              </w:rPr>
              <w:t>ssigned</w:t>
            </w:r>
            <w:r w:rsidR="001468FE" w:rsidRPr="00A9365E">
              <w:rPr>
                <w:rFonts w:ascii="Tw Cen MT" w:eastAsia="Interstate-Light" w:hAnsi="Tw Cen MT" w:cs="Arial"/>
                <w:color w:val="000000" w:themeColor="text1"/>
                <w:lang w:val="en-US"/>
              </w:rPr>
              <w:t xml:space="preserve"> t</w:t>
            </w:r>
            <w:r w:rsidR="00850ECA" w:rsidRPr="00A9365E">
              <w:rPr>
                <w:rFonts w:ascii="Tw Cen MT" w:eastAsia="Interstate-Light" w:hAnsi="Tw Cen MT" w:cs="Arial"/>
                <w:color w:val="000000" w:themeColor="text1"/>
                <w:lang w:val="en-US"/>
              </w:rPr>
              <w:t xml:space="preserve">o the </w:t>
            </w:r>
            <w:r w:rsidR="00066930" w:rsidRPr="00A9365E">
              <w:rPr>
                <w:rFonts w:ascii="Tw Cen MT" w:eastAsia="Interstate-Light" w:hAnsi="Tw Cen MT" w:cs="Arial"/>
                <w:color w:val="000000" w:themeColor="text1"/>
                <w:lang w:val="en-US"/>
              </w:rPr>
              <w:t>D</w:t>
            </w:r>
            <w:r w:rsidR="00850ECA" w:rsidRPr="00A9365E">
              <w:rPr>
                <w:rFonts w:ascii="Tw Cen MT" w:eastAsia="Interstate-Light" w:hAnsi="Tw Cen MT" w:cs="Arial"/>
                <w:color w:val="000000" w:themeColor="text1"/>
                <w:lang w:val="en-US"/>
              </w:rPr>
              <w:t xml:space="preserve">evelopers and DisCos. </w:t>
            </w:r>
          </w:p>
          <w:p w14:paraId="3FE7311A" w14:textId="77777777" w:rsidR="00804386" w:rsidRPr="00A9365E" w:rsidRDefault="00804386"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0A9D53B2" w14:textId="0CB5E514" w:rsidR="00AC1702" w:rsidRPr="00A9365E" w:rsidRDefault="00755425"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T</w:t>
            </w:r>
            <w:r w:rsidR="00AC1702" w:rsidRPr="00A9365E">
              <w:rPr>
                <w:rFonts w:ascii="Tw Cen MT" w:eastAsia="Interstate-Light" w:hAnsi="Tw Cen MT" w:cs="Arial"/>
                <w:color w:val="000000" w:themeColor="text1"/>
                <w:lang w:val="en-US"/>
              </w:rPr>
              <w:t>he developer shall</w:t>
            </w:r>
            <w:r w:rsidR="00573036" w:rsidRPr="00A9365E">
              <w:rPr>
                <w:rFonts w:ascii="Tw Cen MT" w:eastAsia="Interstate-Light" w:hAnsi="Tw Cen MT" w:cs="Arial"/>
                <w:color w:val="000000" w:themeColor="text1"/>
                <w:lang w:val="en-US"/>
              </w:rPr>
              <w:t>:</w:t>
            </w:r>
          </w:p>
          <w:p w14:paraId="0F83B785" w14:textId="3D5D3521" w:rsidR="00573036" w:rsidRPr="00A9365E" w:rsidRDefault="00573036"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Perform jointly with the </w:t>
            </w:r>
            <w:r w:rsidR="00A82F57"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and the Interconnected Customer initial calibrations and accuracy tests for the Metering Systems</w:t>
            </w:r>
            <w:r w:rsidR="00446E48" w:rsidRPr="00A9365E">
              <w:rPr>
                <w:rFonts w:ascii="Tw Cen MT" w:eastAsia="Interstate-Light" w:hAnsi="Tw Cen MT" w:cs="Arial"/>
                <w:color w:val="000000" w:themeColor="text1"/>
                <w:lang w:val="en-US"/>
              </w:rPr>
              <w:t>.</w:t>
            </w:r>
            <w:r w:rsidR="00AA6D6D" w:rsidRPr="00A9365E">
              <w:rPr>
                <w:rFonts w:ascii="Tw Cen MT" w:eastAsia="Interstate-Light" w:hAnsi="Tw Cen MT" w:cs="Arial"/>
                <w:color w:val="000000" w:themeColor="text1"/>
                <w:lang w:val="en-US"/>
              </w:rPr>
              <w:t xml:space="preserve"> undertake the installations and cabling works required to connect the Mini-Grid to the Grid Point of Connection</w:t>
            </w:r>
            <w:r w:rsidR="00D41078" w:rsidRPr="00A9365E">
              <w:rPr>
                <w:rFonts w:ascii="Tw Cen MT" w:eastAsia="Interstate-Light" w:hAnsi="Tw Cen MT" w:cs="Arial"/>
                <w:color w:val="000000" w:themeColor="text1"/>
                <w:lang w:val="en-US"/>
              </w:rPr>
              <w:t>.</w:t>
            </w:r>
          </w:p>
          <w:p w14:paraId="2123E786" w14:textId="6E9A6DCF" w:rsidR="009879E0" w:rsidRPr="00A9365E" w:rsidRDefault="009879E0"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undertake jointly with the </w:t>
            </w:r>
            <w:r w:rsidR="00A82F57"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and the Interconnected Customer an analysis of the physical condition of the Distribution Network at the Grid Point of Interconnection to ascertain that the Distribution Network at the Grid Point of Interconnection is in good condition and is in accordance with the requirements of the Technical Codes</w:t>
            </w:r>
            <w:r w:rsidR="0040153D">
              <w:rPr>
                <w:rFonts w:ascii="Tw Cen MT" w:eastAsia="Interstate-Light" w:hAnsi="Tw Cen MT" w:cs="Arial"/>
                <w:color w:val="000000" w:themeColor="text1"/>
                <w:lang w:val="en-US"/>
              </w:rPr>
              <w:t>.</w:t>
            </w:r>
          </w:p>
          <w:p w14:paraId="4A33AD05" w14:textId="77777777" w:rsidR="009879E0" w:rsidRPr="00A9365E" w:rsidRDefault="009879E0"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6E01C0C1" w14:textId="79BEDB68" w:rsidR="009879E0" w:rsidRPr="00A9365E" w:rsidRDefault="009879E0"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 xml:space="preserve">The </w:t>
            </w:r>
            <w:r w:rsidR="00A82F57" w:rsidRPr="00A9365E">
              <w:rPr>
                <w:rFonts w:ascii="Tw Cen MT" w:eastAsia="Interstate-Light" w:hAnsi="Tw Cen MT" w:cs="Arial"/>
                <w:color w:val="000000" w:themeColor="text1"/>
                <w:lang w:val="en-US"/>
              </w:rPr>
              <w:t>utility</w:t>
            </w:r>
            <w:r w:rsidRPr="00A9365E">
              <w:rPr>
                <w:rFonts w:ascii="Tw Cen MT" w:eastAsia="Interstate-Light" w:hAnsi="Tw Cen MT" w:cs="Arial"/>
                <w:color w:val="000000" w:themeColor="text1"/>
                <w:lang w:val="en-US"/>
              </w:rPr>
              <w:t xml:space="preserve"> shall: </w:t>
            </w:r>
          </w:p>
          <w:p w14:paraId="6C7D2C1A" w14:textId="7A31D726" w:rsidR="00B50782" w:rsidRPr="00A9365E" w:rsidRDefault="00555035" w:rsidP="007A1E82">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A9365E">
              <w:rPr>
                <w:rFonts w:ascii="Tw Cen MT" w:eastAsia="Interstate-Light" w:hAnsi="Tw Cen MT" w:cs="Arial"/>
                <w:color w:val="000000" w:themeColor="text1"/>
                <w:lang w:val="en-US"/>
              </w:rPr>
              <w:t>provide the Operator with a copy of its plan to execute the Necessary Prior Distribution Network Upgrades and any relevant planned Distribution Network upgrades as relates to the Distribution Network that serves the Interconnected Customer, and procedures to ensure the Operator’s connection standard complies with the Technical Codes</w:t>
            </w:r>
            <w:r w:rsidR="00834297" w:rsidRPr="00A9365E">
              <w:rPr>
                <w:rFonts w:ascii="Tw Cen MT" w:eastAsia="Interstate-Light" w:hAnsi="Tw Cen MT" w:cs="Arial"/>
                <w:color w:val="000000" w:themeColor="text1"/>
                <w:lang w:val="en-US"/>
              </w:rPr>
              <w:t xml:space="preserve"> including confirming the implementation of the upgrade. </w:t>
            </w:r>
            <w:r w:rsidR="00823B17" w:rsidRPr="00A9365E">
              <w:rPr>
                <w:rFonts w:ascii="Tw Cen MT" w:eastAsia="Interstate-Light" w:hAnsi="Tw Cen MT" w:cs="Arial"/>
                <w:color w:val="000000" w:themeColor="text1"/>
                <w:lang w:val="en-US"/>
              </w:rPr>
              <w:t>Complete the installation of the grid metering system</w:t>
            </w:r>
            <w:r w:rsidR="008D6FC0" w:rsidRPr="00A9365E">
              <w:rPr>
                <w:rFonts w:ascii="Tw Cen MT" w:eastAsia="Interstate-Light" w:hAnsi="Tw Cen MT" w:cs="Arial"/>
                <w:color w:val="000000" w:themeColor="text1"/>
                <w:lang w:val="en-US"/>
              </w:rPr>
              <w:t xml:space="preserve"> and </w:t>
            </w:r>
            <w:r w:rsidR="0003631D" w:rsidRPr="00A9365E">
              <w:rPr>
                <w:rFonts w:ascii="Tw Cen MT" w:eastAsia="Interstate-Light" w:hAnsi="Tw Cen MT" w:cs="Arial"/>
                <w:color w:val="000000" w:themeColor="text1"/>
                <w:lang w:val="en-US"/>
              </w:rPr>
              <w:t xml:space="preserve">perform jointly with the operator </w:t>
            </w:r>
            <w:r w:rsidR="00821511" w:rsidRPr="00A9365E">
              <w:rPr>
                <w:rFonts w:ascii="Tw Cen MT" w:eastAsia="Interstate-Light" w:hAnsi="Tw Cen MT" w:cs="Arial"/>
                <w:color w:val="000000" w:themeColor="text1"/>
                <w:lang w:val="en-US"/>
              </w:rPr>
              <w:t>initial calibration and accuracy tests for the metering system</w:t>
            </w:r>
            <w:r w:rsidR="0040153D">
              <w:rPr>
                <w:rFonts w:ascii="Tw Cen MT" w:eastAsia="Interstate-Light" w:hAnsi="Tw Cen MT" w:cs="Arial"/>
                <w:color w:val="000000" w:themeColor="text1"/>
                <w:lang w:val="en-US"/>
              </w:rPr>
              <w:t>.</w:t>
            </w:r>
          </w:p>
        </w:tc>
      </w:tr>
    </w:tbl>
    <w:p w14:paraId="22DBCCF3" w14:textId="77777777" w:rsidR="007A1E82" w:rsidRDefault="007A1E82" w:rsidP="00232AD1">
      <w:pPr>
        <w:rPr>
          <w:rFonts w:ascii="Tw Cen MT" w:hAnsi="Tw Cen MT"/>
        </w:rPr>
      </w:pPr>
    </w:p>
    <w:p w14:paraId="10E49B4B" w14:textId="77777777" w:rsidR="002804AE" w:rsidRDefault="002804AE" w:rsidP="00232AD1">
      <w:pPr>
        <w:rPr>
          <w:rFonts w:ascii="Tw Cen MT" w:hAnsi="Tw Cen MT"/>
        </w:rPr>
      </w:pPr>
    </w:p>
    <w:p w14:paraId="32F0E524" w14:textId="77777777" w:rsidR="002804AE" w:rsidRDefault="002804AE" w:rsidP="00232AD1">
      <w:pPr>
        <w:rPr>
          <w:rFonts w:ascii="Tw Cen MT" w:hAnsi="Tw Cen MT"/>
        </w:rPr>
      </w:pPr>
    </w:p>
    <w:p w14:paraId="5A16B215" w14:textId="77777777" w:rsidR="002804AE" w:rsidRDefault="002804AE" w:rsidP="00232AD1">
      <w:pPr>
        <w:rPr>
          <w:rFonts w:ascii="Tw Cen MT" w:hAnsi="Tw Cen MT"/>
        </w:rPr>
      </w:pPr>
    </w:p>
    <w:p w14:paraId="1F2322CE" w14:textId="77777777" w:rsidR="002804AE" w:rsidRDefault="002804AE" w:rsidP="00232AD1">
      <w:pPr>
        <w:rPr>
          <w:rFonts w:ascii="Tw Cen MT" w:hAnsi="Tw Cen MT"/>
        </w:rPr>
      </w:pPr>
    </w:p>
    <w:p w14:paraId="3587455C" w14:textId="77777777" w:rsidR="002804AE" w:rsidRDefault="002804AE" w:rsidP="00232AD1">
      <w:pPr>
        <w:rPr>
          <w:rFonts w:ascii="Tw Cen MT" w:hAnsi="Tw Cen MT"/>
        </w:rPr>
      </w:pPr>
    </w:p>
    <w:p w14:paraId="5565AF0F" w14:textId="7C054457" w:rsidR="002804AE" w:rsidRPr="00A9365E" w:rsidRDefault="002804AE" w:rsidP="0417647D">
      <w:pPr>
        <w:rPr>
          <w:rFonts w:ascii="Tw Cen MT" w:hAnsi="Tw Cen MT"/>
        </w:rPr>
      </w:pPr>
    </w:p>
    <w:p w14:paraId="20899B40" w14:textId="77777777" w:rsidR="007A1E82" w:rsidRPr="00A9365E" w:rsidRDefault="007A1E82" w:rsidP="00232AD1">
      <w:pPr>
        <w:rPr>
          <w:rFonts w:ascii="Tw Cen MT" w:hAnsi="Tw Cen MT"/>
        </w:rPr>
      </w:pPr>
    </w:p>
    <w:p w14:paraId="25CEABD5" w14:textId="470ED2DA" w:rsidR="00C277C8" w:rsidRPr="00A9365E" w:rsidRDefault="00C277C8" w:rsidP="06F10F4C">
      <w:pPr>
        <w:keepNext/>
        <w:keepLines/>
        <w:spacing w:before="80" w:after="40" w:line="23" w:lineRule="atLeast"/>
        <w:jc w:val="center"/>
        <w:outlineLvl w:val="2"/>
        <w:rPr>
          <w:rFonts w:ascii="Tw Cen MT" w:eastAsia="Times New Roman" w:hAnsi="Tw Cen MT" w:cs="Arial"/>
          <w:b/>
          <w:bCs/>
          <w:color w:val="000000"/>
          <w:kern w:val="0"/>
          <w:sz w:val="22"/>
          <w:szCs w:val="22"/>
          <w:lang w:val="en-GB"/>
          <w14:ligatures w14:val="none"/>
        </w:rPr>
      </w:pPr>
      <w:bookmarkStart w:id="0" w:name="_Toc93751791"/>
      <w:r w:rsidRPr="06F10F4C">
        <w:rPr>
          <w:rFonts w:ascii="Tw Cen MT" w:eastAsia="Times New Roman" w:hAnsi="Tw Cen MT" w:cs="Arial"/>
          <w:b/>
          <w:bCs/>
          <w:color w:val="000000"/>
          <w:kern w:val="0"/>
          <w:sz w:val="22"/>
          <w:szCs w:val="22"/>
          <w:lang w:val="en-GB"/>
          <w14:ligatures w14:val="none"/>
        </w:rPr>
        <w:t xml:space="preserve">Key </w:t>
      </w:r>
      <w:r w:rsidR="72C9C120" w:rsidRPr="06F10F4C">
        <w:rPr>
          <w:rFonts w:ascii="Tw Cen MT" w:eastAsia="Times New Roman" w:hAnsi="Tw Cen MT" w:cs="Arial"/>
          <w:b/>
          <w:bCs/>
          <w:color w:val="000000"/>
          <w:kern w:val="0"/>
          <w:sz w:val="22"/>
          <w:szCs w:val="22"/>
          <w:lang w:val="en-GB"/>
          <w14:ligatures w14:val="none"/>
        </w:rPr>
        <w:t>t</w:t>
      </w:r>
      <w:bookmarkEnd w:id="0"/>
      <w:r w:rsidR="009E75C8" w:rsidRPr="06F10F4C">
        <w:rPr>
          <w:rFonts w:ascii="Tw Cen MT" w:eastAsia="Times New Roman" w:hAnsi="Tw Cen MT" w:cs="Arial"/>
          <w:b/>
          <w:bCs/>
          <w:color w:val="000000"/>
          <w:kern w:val="0"/>
          <w:sz w:val="22"/>
          <w:szCs w:val="22"/>
          <w:lang w:val="en-GB"/>
          <w14:ligatures w14:val="none"/>
        </w:rPr>
        <w:t>ake</w:t>
      </w:r>
      <w:r w:rsidR="00486014" w:rsidRPr="06F10F4C">
        <w:rPr>
          <w:rFonts w:ascii="Tw Cen MT" w:eastAsia="Times New Roman" w:hAnsi="Tw Cen MT" w:cs="Arial"/>
          <w:b/>
          <w:bCs/>
          <w:color w:val="000000"/>
          <w:kern w:val="0"/>
          <w:sz w:val="22"/>
          <w:szCs w:val="22"/>
          <w:lang w:val="en-GB"/>
          <w14:ligatures w14:val="none"/>
        </w:rPr>
        <w:t xml:space="preserve">aways to </w:t>
      </w:r>
      <w:r w:rsidR="0D9E6B7A" w:rsidRPr="06F10F4C">
        <w:rPr>
          <w:rFonts w:ascii="Tw Cen MT" w:eastAsia="Times New Roman" w:hAnsi="Tw Cen MT" w:cs="Arial"/>
          <w:b/>
          <w:bCs/>
          <w:color w:val="000000"/>
          <w:kern w:val="0"/>
          <w:sz w:val="22"/>
          <w:szCs w:val="22"/>
          <w:lang w:val="en-GB"/>
          <w14:ligatures w14:val="none"/>
        </w:rPr>
        <w:t>s</w:t>
      </w:r>
      <w:r w:rsidR="00486014" w:rsidRPr="06F10F4C">
        <w:rPr>
          <w:rFonts w:ascii="Tw Cen MT" w:eastAsia="Times New Roman" w:hAnsi="Tw Cen MT" w:cs="Arial"/>
          <w:b/>
          <w:bCs/>
          <w:color w:val="000000"/>
          <w:kern w:val="0"/>
          <w:sz w:val="22"/>
          <w:szCs w:val="22"/>
          <w:lang w:val="en-GB"/>
          <w14:ligatures w14:val="none"/>
        </w:rPr>
        <w:t xml:space="preserve">upport </w:t>
      </w:r>
      <w:r w:rsidR="12FD994C" w:rsidRPr="06F10F4C">
        <w:rPr>
          <w:rFonts w:ascii="Tw Cen MT" w:eastAsia="Times New Roman" w:hAnsi="Tw Cen MT" w:cs="Arial"/>
          <w:b/>
          <w:bCs/>
          <w:color w:val="000000"/>
          <w:kern w:val="0"/>
          <w:sz w:val="22"/>
          <w:szCs w:val="22"/>
          <w:lang w:val="en-GB"/>
          <w14:ligatures w14:val="none"/>
        </w:rPr>
        <w:t>p</w:t>
      </w:r>
      <w:r w:rsidR="00486014" w:rsidRPr="06F10F4C">
        <w:rPr>
          <w:rFonts w:ascii="Tw Cen MT" w:eastAsia="Times New Roman" w:hAnsi="Tw Cen MT" w:cs="Arial"/>
          <w:b/>
          <w:bCs/>
          <w:color w:val="000000"/>
          <w:kern w:val="0"/>
          <w:sz w:val="22"/>
          <w:szCs w:val="22"/>
          <w:lang w:val="en-GB"/>
          <w14:ligatures w14:val="none"/>
        </w:rPr>
        <w:t xml:space="preserve">reliminary </w:t>
      </w:r>
      <w:r w:rsidR="29BC3304" w:rsidRPr="06F10F4C">
        <w:rPr>
          <w:rFonts w:ascii="Tw Cen MT" w:eastAsia="Times New Roman" w:hAnsi="Tw Cen MT" w:cs="Arial"/>
          <w:b/>
          <w:bCs/>
          <w:color w:val="000000"/>
          <w:kern w:val="0"/>
          <w:sz w:val="22"/>
          <w:szCs w:val="22"/>
          <w:lang w:val="en-GB"/>
          <w14:ligatures w14:val="none"/>
        </w:rPr>
        <w:t>c</w:t>
      </w:r>
      <w:r w:rsidR="00486014" w:rsidRPr="06F10F4C">
        <w:rPr>
          <w:rFonts w:ascii="Tw Cen MT" w:eastAsia="Times New Roman" w:hAnsi="Tw Cen MT" w:cs="Arial"/>
          <w:b/>
          <w:bCs/>
          <w:color w:val="000000"/>
          <w:kern w:val="0"/>
          <w:sz w:val="22"/>
          <w:szCs w:val="22"/>
          <w:lang w:val="en-GB"/>
          <w14:ligatures w14:val="none"/>
        </w:rPr>
        <w:t xml:space="preserve">ontractual </w:t>
      </w:r>
      <w:r w:rsidR="007026F1" w:rsidRPr="06F10F4C">
        <w:rPr>
          <w:rFonts w:ascii="Tw Cen MT" w:eastAsia="Times New Roman" w:hAnsi="Tw Cen MT" w:cs="Arial"/>
          <w:b/>
          <w:bCs/>
          <w:color w:val="000000"/>
          <w:kern w:val="0"/>
          <w:sz w:val="22"/>
          <w:szCs w:val="22"/>
          <w:lang w:val="en-GB"/>
          <w14:ligatures w14:val="none"/>
        </w:rPr>
        <w:t>negotiation</w:t>
      </w:r>
    </w:p>
    <w:p w14:paraId="2CA9CEB5" w14:textId="0DB5B236" w:rsidR="008B566F" w:rsidRDefault="00C277C8" w:rsidP="00504A5D">
      <w:pPr>
        <w:spacing w:line="23" w:lineRule="atLeast"/>
        <w:jc w:val="both"/>
        <w:rPr>
          <w:rFonts w:ascii="Tw Cen MT" w:eastAsia="Calibri" w:hAnsi="Tw Cen MT" w:cs="Arial"/>
          <w:color w:val="000000"/>
          <w:kern w:val="0"/>
          <w:sz w:val="22"/>
          <w:szCs w:val="22"/>
          <w:lang w:val="en-GB"/>
          <w14:ligatures w14:val="none"/>
        </w:rPr>
      </w:pPr>
      <w:r w:rsidRPr="00A9365E">
        <w:rPr>
          <w:rFonts w:ascii="Tw Cen MT" w:eastAsia="Calibri" w:hAnsi="Tw Cen MT" w:cs="Arial"/>
          <w:color w:val="000000"/>
          <w:kern w:val="0"/>
          <w:sz w:val="22"/>
          <w:szCs w:val="22"/>
          <w:lang w:val="en-GB"/>
          <w14:ligatures w14:val="none"/>
        </w:rPr>
        <w:t xml:space="preserve">Each </w:t>
      </w:r>
      <w:r w:rsidR="00504A5D" w:rsidRPr="00A9365E">
        <w:rPr>
          <w:rFonts w:ascii="Tw Cen MT" w:eastAsia="Calibri" w:hAnsi="Tw Cen MT" w:cs="Arial"/>
          <w:color w:val="000000"/>
          <w:kern w:val="0"/>
          <w:sz w:val="22"/>
          <w:szCs w:val="22"/>
          <w:lang w:val="en-GB"/>
          <w14:ligatures w14:val="none"/>
        </w:rPr>
        <w:t>term</w:t>
      </w:r>
      <w:r w:rsidR="00496809" w:rsidRPr="00A9365E">
        <w:rPr>
          <w:rFonts w:ascii="Tw Cen MT" w:eastAsia="Calibri" w:hAnsi="Tw Cen MT" w:cs="Arial"/>
          <w:color w:val="000000"/>
          <w:kern w:val="0"/>
          <w:sz w:val="22"/>
          <w:szCs w:val="22"/>
          <w:lang w:val="en-GB"/>
          <w14:ligatures w14:val="none"/>
        </w:rPr>
        <w:t xml:space="preserve"> </w:t>
      </w:r>
      <w:r w:rsidRPr="00A9365E">
        <w:rPr>
          <w:rFonts w:ascii="Tw Cen MT" w:eastAsia="Calibri" w:hAnsi="Tw Cen MT" w:cs="Arial"/>
          <w:color w:val="000000"/>
          <w:kern w:val="0"/>
          <w:sz w:val="22"/>
          <w:szCs w:val="22"/>
          <w:lang w:val="en-GB"/>
          <w14:ligatures w14:val="none"/>
        </w:rPr>
        <w:t xml:space="preserve">has been carefully designed </w:t>
      </w:r>
      <w:r w:rsidR="006E0146" w:rsidRPr="00A9365E">
        <w:rPr>
          <w:rFonts w:ascii="Tw Cen MT" w:eastAsia="Calibri" w:hAnsi="Tw Cen MT" w:cs="Arial"/>
          <w:color w:val="000000"/>
          <w:kern w:val="0"/>
          <w:sz w:val="22"/>
          <w:szCs w:val="22"/>
          <w:lang w:val="en-GB"/>
          <w14:ligatures w14:val="none"/>
        </w:rPr>
        <w:t>to create</w:t>
      </w:r>
      <w:r w:rsidRPr="00A9365E">
        <w:rPr>
          <w:rFonts w:ascii="Tw Cen MT" w:eastAsia="Calibri" w:hAnsi="Tw Cen MT" w:cs="Arial"/>
          <w:color w:val="000000"/>
          <w:kern w:val="0"/>
          <w:sz w:val="22"/>
          <w:szCs w:val="22"/>
          <w:lang w:val="en-GB"/>
          <w14:ligatures w14:val="none"/>
        </w:rPr>
        <w:t xml:space="preserve"> a contract that appropriately and fairly distributes responsibility and risk between the parties</w:t>
      </w:r>
      <w:r w:rsidR="006E0146" w:rsidRPr="00A9365E">
        <w:rPr>
          <w:rFonts w:ascii="Tw Cen MT" w:eastAsia="Calibri" w:hAnsi="Tw Cen MT" w:cs="Arial"/>
          <w:color w:val="000000"/>
          <w:kern w:val="0"/>
          <w:sz w:val="22"/>
          <w:szCs w:val="22"/>
          <w:lang w:val="en-GB"/>
          <w14:ligatures w14:val="none"/>
        </w:rPr>
        <w:t>.</w:t>
      </w:r>
      <w:r w:rsidR="008D7338" w:rsidRPr="00A9365E">
        <w:rPr>
          <w:rFonts w:ascii="Tw Cen MT" w:eastAsia="Calibri" w:hAnsi="Tw Cen MT" w:cs="Arial"/>
          <w:color w:val="000000"/>
          <w:kern w:val="0"/>
          <w:sz w:val="22"/>
          <w:szCs w:val="22"/>
          <w:lang w:val="en-GB"/>
          <w14:ligatures w14:val="none"/>
        </w:rPr>
        <w:t xml:space="preserve"> </w:t>
      </w:r>
      <w:r w:rsidR="00504A5D" w:rsidRPr="00A9365E">
        <w:rPr>
          <w:rFonts w:ascii="Tw Cen MT" w:eastAsia="Calibri" w:hAnsi="Tw Cen MT" w:cs="Arial"/>
          <w:color w:val="000000"/>
          <w:kern w:val="0"/>
          <w:sz w:val="22"/>
          <w:szCs w:val="22"/>
          <w:lang w:val="en-GB"/>
          <w14:ligatures w14:val="none"/>
        </w:rPr>
        <w:t xml:space="preserve">Some prerequisites to initiate contract negotiation to </w:t>
      </w:r>
      <w:r w:rsidR="00FD3DE4" w:rsidRPr="00A9365E">
        <w:rPr>
          <w:rFonts w:ascii="Tw Cen MT" w:eastAsia="Calibri" w:hAnsi="Tw Cen MT" w:cs="Arial"/>
          <w:color w:val="000000"/>
          <w:kern w:val="0"/>
          <w:sz w:val="22"/>
          <w:szCs w:val="22"/>
          <w:lang w:val="en-GB"/>
          <w14:ligatures w14:val="none"/>
        </w:rPr>
        <w:t xml:space="preserve">support the </w:t>
      </w:r>
      <w:r w:rsidR="00504A5D" w:rsidRPr="00A9365E">
        <w:rPr>
          <w:rFonts w:ascii="Tw Cen MT" w:eastAsia="Calibri" w:hAnsi="Tw Cen MT" w:cs="Arial"/>
          <w:color w:val="000000"/>
          <w:kern w:val="0"/>
          <w:sz w:val="22"/>
          <w:szCs w:val="22"/>
          <w:lang w:val="en-GB"/>
          <w14:ligatures w14:val="none"/>
        </w:rPr>
        <w:t>accept</w:t>
      </w:r>
      <w:r w:rsidR="00FD3DE4" w:rsidRPr="00A9365E">
        <w:rPr>
          <w:rFonts w:ascii="Tw Cen MT" w:eastAsia="Calibri" w:hAnsi="Tw Cen MT" w:cs="Arial"/>
          <w:color w:val="000000"/>
          <w:kern w:val="0"/>
          <w:sz w:val="22"/>
          <w:szCs w:val="22"/>
          <w:lang w:val="en-GB"/>
          <w14:ligatures w14:val="none"/>
        </w:rPr>
        <w:t>ance of the terms illustrated are stated</w:t>
      </w:r>
      <w:r w:rsidR="008B566F" w:rsidRPr="00A9365E">
        <w:rPr>
          <w:rFonts w:ascii="Tw Cen MT" w:eastAsia="Calibri" w:hAnsi="Tw Cen MT" w:cs="Arial"/>
          <w:color w:val="000000"/>
          <w:kern w:val="0"/>
          <w:sz w:val="22"/>
          <w:szCs w:val="22"/>
          <w:lang w:val="en-GB"/>
          <w14:ligatures w14:val="none"/>
        </w:rPr>
        <w:t xml:space="preserve"> below</w:t>
      </w:r>
      <w:r w:rsidR="002B73C9">
        <w:rPr>
          <w:rFonts w:ascii="Tw Cen MT" w:eastAsia="Calibri" w:hAnsi="Tw Cen MT" w:cs="Arial"/>
          <w:color w:val="000000"/>
          <w:kern w:val="0"/>
          <w:sz w:val="22"/>
          <w:szCs w:val="22"/>
          <w:lang w:val="en-GB"/>
          <w14:ligatures w14:val="none"/>
        </w:rPr>
        <w:t>:</w:t>
      </w:r>
    </w:p>
    <w:p w14:paraId="3D6B700C" w14:textId="77777777" w:rsidR="002B73C9" w:rsidRPr="00A9365E" w:rsidRDefault="002B73C9" w:rsidP="00504A5D">
      <w:pPr>
        <w:spacing w:line="23" w:lineRule="atLeast"/>
        <w:jc w:val="both"/>
        <w:rPr>
          <w:rFonts w:ascii="Tw Cen MT" w:eastAsia="Calibri" w:hAnsi="Tw Cen MT" w:cs="Arial"/>
          <w:color w:val="000000"/>
          <w:kern w:val="0"/>
          <w:sz w:val="22"/>
          <w:szCs w:val="22"/>
          <w:lang w:val="en-GB"/>
          <w14:ligatures w14:val="none"/>
        </w:rPr>
      </w:pPr>
    </w:p>
    <w:p w14:paraId="3A454945" w14:textId="4BD22CC9" w:rsidR="008B566F" w:rsidRPr="00A9365E" w:rsidRDefault="6B7BA225" w:rsidP="008B566F">
      <w:pPr>
        <w:pStyle w:val="ListParagraph"/>
        <w:numPr>
          <w:ilvl w:val="0"/>
          <w:numId w:val="3"/>
        </w:numPr>
        <w:spacing w:line="23" w:lineRule="atLeast"/>
        <w:jc w:val="both"/>
        <w:rPr>
          <w:rFonts w:eastAsia="Calibri" w:cs="Arial"/>
          <w:color w:val="000000"/>
          <w:kern w:val="0"/>
          <w:sz w:val="22"/>
          <w:szCs w:val="22"/>
          <w:lang w:val="en-GB"/>
          <w14:ligatures w14:val="none"/>
        </w:rPr>
      </w:pPr>
      <w:r w:rsidRPr="00A9365E">
        <w:rPr>
          <w:rFonts w:eastAsia="Calibri" w:cs="Arial"/>
          <w:color w:val="000000"/>
          <w:kern w:val="0"/>
          <w:sz w:val="22"/>
          <w:szCs w:val="22"/>
          <w:lang w:val="en-GB"/>
          <w14:ligatures w14:val="none"/>
        </w:rPr>
        <w:t>All parties should u</w:t>
      </w:r>
      <w:r w:rsidR="002B03ED" w:rsidRPr="00A9365E">
        <w:rPr>
          <w:rFonts w:eastAsia="Calibri" w:cs="Arial"/>
          <w:color w:val="000000"/>
          <w:kern w:val="0"/>
          <w:sz w:val="22"/>
          <w:szCs w:val="22"/>
          <w:lang w:val="en-GB"/>
          <w14:ligatures w14:val="none"/>
        </w:rPr>
        <w:t xml:space="preserve">nderstand the business model value proposition and the key benefits to each </w:t>
      </w:r>
      <w:r w:rsidR="008B566F" w:rsidRPr="00A9365E">
        <w:rPr>
          <w:rFonts w:eastAsia="Calibri" w:cs="Arial"/>
          <w:color w:val="000000"/>
          <w:kern w:val="0"/>
          <w:sz w:val="22"/>
          <w:szCs w:val="22"/>
          <w:lang w:val="en-GB"/>
          <w14:ligatures w14:val="none"/>
        </w:rPr>
        <w:t>party.</w:t>
      </w:r>
      <w:r w:rsidR="002B03ED" w:rsidRPr="00A9365E">
        <w:rPr>
          <w:rFonts w:eastAsia="Calibri" w:cs="Arial"/>
          <w:color w:val="000000"/>
          <w:kern w:val="0"/>
          <w:sz w:val="22"/>
          <w:szCs w:val="22"/>
          <w:lang w:val="en-GB"/>
          <w14:ligatures w14:val="none"/>
        </w:rPr>
        <w:t xml:space="preserve"> </w:t>
      </w:r>
    </w:p>
    <w:p w14:paraId="39F1E58B" w14:textId="590CEAE4" w:rsidR="008B566F" w:rsidRPr="00A9365E" w:rsidRDefault="008B566F" w:rsidP="008B566F">
      <w:pPr>
        <w:pStyle w:val="ListParagraph"/>
        <w:numPr>
          <w:ilvl w:val="0"/>
          <w:numId w:val="3"/>
        </w:numPr>
        <w:spacing w:line="23" w:lineRule="atLeast"/>
        <w:jc w:val="both"/>
        <w:rPr>
          <w:rFonts w:eastAsia="Calibri" w:cs="Arial"/>
          <w:color w:val="000000"/>
          <w:kern w:val="0"/>
          <w:sz w:val="22"/>
          <w:szCs w:val="22"/>
          <w:lang w:val="en-GB"/>
          <w14:ligatures w14:val="none"/>
        </w:rPr>
      </w:pPr>
      <w:r w:rsidRPr="00A9365E">
        <w:rPr>
          <w:rFonts w:eastAsia="Calibri" w:cs="Arial"/>
          <w:color w:val="000000"/>
          <w:kern w:val="0"/>
          <w:sz w:val="22"/>
          <w:szCs w:val="22"/>
          <w:lang w:val="en-GB"/>
          <w14:ligatures w14:val="none"/>
        </w:rPr>
        <w:t>A</w:t>
      </w:r>
      <w:r w:rsidR="002B03ED" w:rsidRPr="00A9365E">
        <w:rPr>
          <w:rFonts w:eastAsia="Calibri" w:cs="Arial"/>
          <w:color w:val="000000"/>
          <w:kern w:val="0"/>
          <w:sz w:val="22"/>
          <w:szCs w:val="22"/>
          <w:lang w:val="en-GB"/>
          <w14:ligatures w14:val="none"/>
        </w:rPr>
        <w:t xml:space="preserve">ll parties </w:t>
      </w:r>
      <w:r w:rsidR="2FE327CD" w:rsidRPr="00A9365E">
        <w:rPr>
          <w:rFonts w:eastAsia="Calibri" w:cs="Arial"/>
          <w:color w:val="000000"/>
          <w:kern w:val="0"/>
          <w:sz w:val="22"/>
          <w:szCs w:val="22"/>
          <w:lang w:val="en-GB"/>
          <w14:ligatures w14:val="none"/>
        </w:rPr>
        <w:t>should</w:t>
      </w:r>
      <w:r w:rsidR="002B03ED" w:rsidRPr="00A9365E">
        <w:rPr>
          <w:rFonts w:eastAsia="Calibri" w:cs="Arial"/>
          <w:color w:val="000000"/>
          <w:kern w:val="0"/>
          <w:sz w:val="22"/>
          <w:szCs w:val="22"/>
          <w:lang w:val="en-GB"/>
          <w14:ligatures w14:val="none"/>
        </w:rPr>
        <w:t xml:space="preserve"> understand </w:t>
      </w:r>
      <w:proofErr w:type="spellStart"/>
      <w:r w:rsidR="002B03ED" w:rsidRPr="00A9365E">
        <w:rPr>
          <w:rFonts w:eastAsia="Calibri" w:cs="Arial"/>
          <w:color w:val="000000"/>
          <w:kern w:val="0"/>
          <w:sz w:val="22"/>
          <w:szCs w:val="22"/>
          <w:lang w:val="en-GB"/>
          <w14:ligatures w14:val="none"/>
        </w:rPr>
        <w:t>each other</w:t>
      </w:r>
      <w:r w:rsidR="1FC0492E" w:rsidRPr="00A9365E">
        <w:rPr>
          <w:rFonts w:eastAsia="Calibri" w:cs="Arial"/>
          <w:color w:val="000000"/>
          <w:kern w:val="0"/>
          <w:sz w:val="22"/>
          <w:szCs w:val="22"/>
          <w:lang w:val="en-GB"/>
          <w14:ligatures w14:val="none"/>
        </w:rPr>
        <w:t>s’</w:t>
      </w:r>
      <w:proofErr w:type="spellEnd"/>
      <w:r w:rsidR="002B03ED" w:rsidRPr="00A9365E">
        <w:rPr>
          <w:rFonts w:eastAsia="Calibri" w:cs="Arial"/>
          <w:color w:val="000000"/>
          <w:kern w:val="0"/>
          <w:sz w:val="22"/>
          <w:szCs w:val="22"/>
          <w:lang w:val="en-GB"/>
          <w14:ligatures w14:val="none"/>
        </w:rPr>
        <w:t xml:space="preserve"> perspectives and align on a fair contract </w:t>
      </w:r>
      <w:r w:rsidR="0048698D">
        <w:rPr>
          <w:rFonts w:eastAsia="Calibri" w:cs="Arial"/>
          <w:color w:val="000000"/>
          <w:kern w:val="0"/>
          <w:sz w:val="22"/>
          <w:szCs w:val="22"/>
          <w:lang w:val="en-GB"/>
          <w14:ligatures w14:val="none"/>
        </w:rPr>
        <w:t>to balance their interests</w:t>
      </w:r>
      <w:r w:rsidR="00D71E85" w:rsidRPr="00A9365E">
        <w:rPr>
          <w:rFonts w:eastAsia="Calibri" w:cs="Arial"/>
          <w:color w:val="000000"/>
          <w:kern w:val="0"/>
          <w:sz w:val="22"/>
          <w:szCs w:val="22"/>
          <w:lang w:val="en-GB"/>
          <w14:ligatures w14:val="none"/>
        </w:rPr>
        <w:t>.</w:t>
      </w:r>
    </w:p>
    <w:p w14:paraId="7F204106" w14:textId="5F9C1ECB" w:rsidR="00C60133" w:rsidRPr="00A9365E" w:rsidRDefault="008B566F" w:rsidP="008B566F">
      <w:pPr>
        <w:pStyle w:val="ListParagraph"/>
        <w:numPr>
          <w:ilvl w:val="0"/>
          <w:numId w:val="3"/>
        </w:numPr>
        <w:spacing w:line="23" w:lineRule="atLeast"/>
        <w:jc w:val="both"/>
        <w:rPr>
          <w:rFonts w:eastAsia="Calibri" w:cs="Arial"/>
          <w:color w:val="000000"/>
          <w:kern w:val="0"/>
          <w:sz w:val="22"/>
          <w:szCs w:val="22"/>
          <w:lang w:val="en-GB"/>
          <w14:ligatures w14:val="none"/>
        </w:rPr>
      </w:pPr>
      <w:r w:rsidRPr="00A9365E">
        <w:rPr>
          <w:rFonts w:eastAsia="Calibri" w:cs="Arial"/>
          <w:color w:val="000000"/>
          <w:kern w:val="0"/>
          <w:sz w:val="22"/>
          <w:szCs w:val="22"/>
          <w:lang w:val="en-GB"/>
          <w14:ligatures w14:val="none"/>
        </w:rPr>
        <w:t>B</w:t>
      </w:r>
      <w:r w:rsidR="00504A5D" w:rsidRPr="00A9365E">
        <w:rPr>
          <w:rFonts w:eastAsia="Calibri" w:cs="Arial"/>
          <w:color w:val="000000"/>
          <w:kern w:val="0"/>
          <w:sz w:val="22"/>
          <w:szCs w:val="22"/>
          <w:lang w:val="en-GB"/>
          <w14:ligatures w14:val="none"/>
        </w:rPr>
        <w:t>oth the</w:t>
      </w:r>
      <w:r w:rsidR="00162420" w:rsidRPr="00A9365E">
        <w:rPr>
          <w:rFonts w:eastAsia="Calibri" w:cs="Arial"/>
          <w:color w:val="000000"/>
          <w:kern w:val="0"/>
          <w:sz w:val="22"/>
          <w:szCs w:val="22"/>
          <w:lang w:val="en-GB"/>
          <w14:ligatures w14:val="none"/>
        </w:rPr>
        <w:t xml:space="preserve"> DER</w:t>
      </w:r>
      <w:r w:rsidR="00504A5D" w:rsidRPr="00A9365E">
        <w:rPr>
          <w:rFonts w:eastAsia="Calibri" w:cs="Arial"/>
          <w:color w:val="000000"/>
          <w:kern w:val="0"/>
          <w:sz w:val="22"/>
          <w:szCs w:val="22"/>
          <w:lang w:val="en-GB"/>
          <w14:ligatures w14:val="none"/>
        </w:rPr>
        <w:t xml:space="preserve"> developer and the utilit</w:t>
      </w:r>
      <w:r w:rsidR="20B12233" w:rsidRPr="00A9365E">
        <w:rPr>
          <w:rFonts w:eastAsia="Calibri" w:cs="Arial"/>
          <w:color w:val="000000"/>
          <w:kern w:val="0"/>
          <w:sz w:val="22"/>
          <w:szCs w:val="22"/>
          <w:lang w:val="en-GB"/>
          <w14:ligatures w14:val="none"/>
        </w:rPr>
        <w:t>y</w:t>
      </w:r>
      <w:r w:rsidR="00504A5D" w:rsidRPr="00A9365E">
        <w:rPr>
          <w:rFonts w:eastAsia="Calibri" w:cs="Arial"/>
          <w:color w:val="000000"/>
          <w:kern w:val="0"/>
          <w:sz w:val="22"/>
          <w:szCs w:val="22"/>
          <w:lang w:val="en-GB"/>
          <w14:ligatures w14:val="none"/>
        </w:rPr>
        <w:t xml:space="preserve"> should accept that the</w:t>
      </w:r>
      <w:r w:rsidR="00D71E85" w:rsidRPr="00A9365E">
        <w:rPr>
          <w:rFonts w:eastAsia="Calibri" w:cs="Arial"/>
          <w:color w:val="000000"/>
          <w:kern w:val="0"/>
          <w:sz w:val="22"/>
          <w:szCs w:val="22"/>
          <w:lang w:val="en-GB"/>
          <w14:ligatures w14:val="none"/>
        </w:rPr>
        <w:t>re</w:t>
      </w:r>
      <w:r w:rsidR="00504A5D" w:rsidRPr="00A9365E">
        <w:rPr>
          <w:rFonts w:eastAsia="Calibri" w:cs="Arial"/>
          <w:color w:val="000000"/>
          <w:kern w:val="0"/>
          <w:sz w:val="22"/>
          <w:szCs w:val="22"/>
          <w:lang w:val="en-GB"/>
          <w14:ligatures w14:val="none"/>
        </w:rPr>
        <w:t xml:space="preserve"> is room for improvement as they implement various projects.  </w:t>
      </w:r>
    </w:p>
    <w:p w14:paraId="38C2DB95" w14:textId="7E93721E" w:rsidR="00504A5D" w:rsidRPr="00A9365E" w:rsidRDefault="00376EBB" w:rsidP="00EC1383">
      <w:pPr>
        <w:spacing w:line="23" w:lineRule="atLeast"/>
        <w:jc w:val="both"/>
        <w:rPr>
          <w:rFonts w:ascii="Tw Cen MT" w:eastAsia="Calibri" w:hAnsi="Tw Cen MT" w:cs="Arial"/>
          <w:color w:val="000000" w:themeColor="text1"/>
          <w:sz w:val="22"/>
          <w:szCs w:val="22"/>
          <w:lang w:val="en-GB"/>
        </w:rPr>
      </w:pPr>
      <w:r w:rsidRPr="06F10F4C">
        <w:rPr>
          <w:rFonts w:ascii="Tw Cen MT" w:eastAsia="Calibri" w:hAnsi="Tw Cen MT" w:cs="Arial"/>
          <w:color w:val="000000" w:themeColor="text1"/>
          <w:sz w:val="22"/>
          <w:szCs w:val="22"/>
          <w:lang w:val="en-GB"/>
        </w:rPr>
        <w:t>Accepting</w:t>
      </w:r>
      <w:r w:rsidR="173572F5" w:rsidRPr="06F10F4C">
        <w:rPr>
          <w:rFonts w:ascii="Tw Cen MT" w:eastAsia="Calibri" w:hAnsi="Tw Cen MT" w:cs="Arial"/>
          <w:color w:val="000000" w:themeColor="text1"/>
          <w:sz w:val="22"/>
          <w:szCs w:val="22"/>
          <w:lang w:val="en-GB"/>
        </w:rPr>
        <w:t xml:space="preserve"> terms between the developer and </w:t>
      </w:r>
      <w:r w:rsidR="3A008422" w:rsidRPr="06F10F4C">
        <w:rPr>
          <w:rFonts w:ascii="Tw Cen MT" w:eastAsia="Calibri" w:hAnsi="Tw Cen MT" w:cs="Arial"/>
          <w:color w:val="000000" w:themeColor="text1"/>
          <w:sz w:val="22"/>
          <w:szCs w:val="22"/>
          <w:lang w:val="en-GB"/>
        </w:rPr>
        <w:t xml:space="preserve">the utility </w:t>
      </w:r>
      <w:r w:rsidR="0048698D">
        <w:rPr>
          <w:rFonts w:ascii="Tw Cen MT" w:eastAsia="Calibri" w:hAnsi="Tw Cen MT" w:cs="Arial"/>
          <w:color w:val="000000" w:themeColor="text1"/>
          <w:sz w:val="22"/>
          <w:szCs w:val="22"/>
          <w:lang w:val="en-GB"/>
        </w:rPr>
        <w:t>ensures</w:t>
      </w:r>
      <w:r w:rsidR="3A008422" w:rsidRPr="06F10F4C">
        <w:rPr>
          <w:rFonts w:ascii="Tw Cen MT" w:eastAsia="Calibri" w:hAnsi="Tw Cen MT" w:cs="Arial"/>
          <w:color w:val="000000" w:themeColor="text1"/>
          <w:sz w:val="22"/>
          <w:szCs w:val="22"/>
          <w:lang w:val="en-GB"/>
        </w:rPr>
        <w:t xml:space="preserve"> quicker </w:t>
      </w:r>
      <w:r w:rsidR="0620A886" w:rsidRPr="06F10F4C">
        <w:rPr>
          <w:rFonts w:ascii="Tw Cen MT" w:eastAsia="Calibri" w:hAnsi="Tw Cen MT" w:cs="Arial"/>
          <w:color w:val="000000" w:themeColor="text1"/>
          <w:sz w:val="22"/>
          <w:szCs w:val="22"/>
          <w:lang w:val="en-GB"/>
        </w:rPr>
        <w:t>contract execution</w:t>
      </w:r>
      <w:r w:rsidR="17F3FEC9" w:rsidRPr="06F10F4C">
        <w:rPr>
          <w:rFonts w:ascii="Tw Cen MT" w:eastAsia="Calibri" w:hAnsi="Tw Cen MT" w:cs="Arial"/>
          <w:color w:val="000000" w:themeColor="text1"/>
          <w:sz w:val="22"/>
          <w:szCs w:val="22"/>
          <w:lang w:val="en-GB"/>
        </w:rPr>
        <w:t>.</w:t>
      </w:r>
      <w:r w:rsidR="0E5369C2" w:rsidRPr="06F10F4C">
        <w:rPr>
          <w:rFonts w:ascii="Tw Cen MT" w:eastAsia="Calibri" w:hAnsi="Tw Cen MT" w:cs="Arial"/>
          <w:color w:val="000000" w:themeColor="text1"/>
          <w:sz w:val="22"/>
          <w:szCs w:val="22"/>
          <w:lang w:val="en-GB"/>
        </w:rPr>
        <w:t xml:space="preserve"> </w:t>
      </w:r>
    </w:p>
    <w:p w14:paraId="42921FAA" w14:textId="77777777" w:rsidR="00C277C8" w:rsidRPr="00A9365E" w:rsidRDefault="00C277C8" w:rsidP="00C277C8">
      <w:pPr>
        <w:rPr>
          <w:rFonts w:ascii="Tw Cen MT" w:eastAsia="MS Gothic" w:hAnsi="Tw Cen MT" w:cs="Arial"/>
          <w:b/>
          <w:bCs/>
          <w:color w:val="000000"/>
          <w:kern w:val="0"/>
          <w:sz w:val="26"/>
          <w:szCs w:val="26"/>
          <w:lang w:val="en-GB" w:eastAsia="ja-JP"/>
          <w14:ligatures w14:val="none"/>
        </w:rPr>
      </w:pPr>
    </w:p>
    <w:p w14:paraId="7AD584B0" w14:textId="77777777" w:rsidR="00C277C8" w:rsidRPr="00A9365E" w:rsidRDefault="00C277C8" w:rsidP="00C277C8">
      <w:pPr>
        <w:keepNext/>
        <w:keepLines/>
        <w:spacing w:before="40"/>
        <w:jc w:val="center"/>
        <w:outlineLvl w:val="3"/>
        <w:rPr>
          <w:rFonts w:ascii="Tw Cen MT" w:eastAsia="MS Gothic" w:hAnsi="Tw Cen MT" w:cs="Arial"/>
          <w:b/>
          <w:bCs/>
          <w:i/>
          <w:iCs/>
          <w:color w:val="365F91"/>
          <w:kern w:val="0"/>
          <w:lang w:eastAsia="ja-JP"/>
          <w14:ligatures w14:val="none"/>
        </w:rPr>
      </w:pPr>
      <w:r w:rsidRPr="00A9365E">
        <w:rPr>
          <w:rFonts w:ascii="Tw Cen MT" w:eastAsia="MS Gothic" w:hAnsi="Tw Cen MT" w:cs="Arial"/>
          <w:b/>
          <w:bCs/>
          <w:i/>
          <w:iCs/>
          <w:color w:val="365F91"/>
          <w:kern w:val="0"/>
          <w:lang w:eastAsia="ja-JP"/>
          <w14:ligatures w14:val="none"/>
        </w:rPr>
        <w:t>Contacts:</w:t>
      </w:r>
    </w:p>
    <w:p w14:paraId="01A83B9A" w14:textId="178490B0" w:rsidR="006F103E" w:rsidRPr="00A9365E" w:rsidRDefault="004333FC" w:rsidP="00C277C8">
      <w:pPr>
        <w:jc w:val="center"/>
        <w:rPr>
          <w:rFonts w:ascii="Tw Cen MT" w:eastAsia="MS Mincho" w:hAnsi="Tw Cen MT" w:cs="Arial"/>
          <w:color w:val="000000"/>
          <w:kern w:val="0"/>
          <w:sz w:val="22"/>
          <w:szCs w:val="22"/>
          <w:lang w:eastAsia="ja-JP"/>
          <w14:ligatures w14:val="none"/>
        </w:rPr>
      </w:pPr>
      <w:r w:rsidRPr="00A9365E">
        <w:rPr>
          <w:rFonts w:ascii="Tw Cen MT" w:eastAsia="MS Mincho" w:hAnsi="Tw Cen MT" w:cs="Arial"/>
          <w:color w:val="000000"/>
          <w:kern w:val="0"/>
          <w:sz w:val="22"/>
          <w:szCs w:val="22"/>
          <w:lang w:eastAsia="ja-JP"/>
          <w14:ligatures w14:val="none"/>
        </w:rPr>
        <w:t>Wayne Omonuwa</w:t>
      </w:r>
      <w:r w:rsidR="00C277C8" w:rsidRPr="00A9365E">
        <w:rPr>
          <w:rFonts w:ascii="Tw Cen MT" w:eastAsia="MS Mincho" w:hAnsi="Tw Cen MT" w:cs="Arial"/>
          <w:color w:val="000000"/>
          <w:kern w:val="0"/>
          <w:sz w:val="22"/>
          <w:szCs w:val="22"/>
          <w:lang w:eastAsia="ja-JP"/>
          <w14:ligatures w14:val="none"/>
        </w:rPr>
        <w:t xml:space="preserve">, </w:t>
      </w:r>
      <w:hyperlink r:id="rId18" w:history="1">
        <w:r w:rsidR="006F103E" w:rsidRPr="00024D0B">
          <w:rPr>
            <w:rStyle w:val="Hyperlink"/>
            <w:rFonts w:ascii="Tw Cen MT" w:eastAsia="MS Mincho" w:hAnsi="Tw Cen MT" w:cs="Arial"/>
            <w:kern w:val="0"/>
            <w:sz w:val="22"/>
            <w:szCs w:val="22"/>
            <w:lang w:eastAsia="ja-JP"/>
            <w14:ligatures w14:val="none"/>
          </w:rPr>
          <w:t>womonuwa@rmi.org</w:t>
        </w:r>
      </w:hyperlink>
    </w:p>
    <w:p w14:paraId="079C6EE1" w14:textId="7107835B" w:rsidR="006F40A4" w:rsidRPr="006F103E" w:rsidRDefault="7C946E76" w:rsidP="20367330">
      <w:pPr>
        <w:jc w:val="center"/>
        <w:rPr>
          <w:rFonts w:ascii="Tw Cen MT" w:eastAsia="MS Mincho" w:hAnsi="Tw Cen MT" w:cs="Arial"/>
          <w:sz w:val="22"/>
          <w:szCs w:val="22"/>
          <w:lang w:eastAsia="ja-JP"/>
        </w:rPr>
      </w:pPr>
      <w:r w:rsidRPr="00A9365E">
        <w:rPr>
          <w:rFonts w:ascii="Tw Cen MT" w:eastAsia="MS Mincho" w:hAnsi="Tw Cen MT" w:cs="Arial"/>
          <w:color w:val="000000"/>
          <w:kern w:val="0"/>
          <w:sz w:val="22"/>
          <w:szCs w:val="22"/>
          <w:lang w:eastAsia="ja-JP"/>
          <w14:ligatures w14:val="none"/>
        </w:rPr>
        <w:t>Zihe</w:t>
      </w:r>
      <w:r w:rsidR="006D3510" w:rsidRPr="00A9365E">
        <w:rPr>
          <w:rFonts w:ascii="Tw Cen MT" w:eastAsia="MS Mincho" w:hAnsi="Tw Cen MT" w:cs="Arial"/>
          <w:color w:val="000000"/>
          <w:kern w:val="0"/>
          <w:sz w:val="22"/>
          <w:szCs w:val="22"/>
          <w:lang w:eastAsia="ja-JP"/>
          <w14:ligatures w14:val="none"/>
        </w:rPr>
        <w:t xml:space="preserve"> </w:t>
      </w:r>
      <w:r w:rsidR="67A4EDD2" w:rsidRPr="00A9365E">
        <w:rPr>
          <w:rFonts w:ascii="Tw Cen MT" w:eastAsia="MS Mincho" w:hAnsi="Tw Cen MT" w:cs="Arial"/>
          <w:color w:val="000000"/>
          <w:kern w:val="0"/>
          <w:sz w:val="22"/>
          <w:szCs w:val="22"/>
          <w:lang w:eastAsia="ja-JP"/>
          <w14:ligatures w14:val="none"/>
        </w:rPr>
        <w:t>Meng</w:t>
      </w:r>
      <w:r w:rsidR="00C277C8" w:rsidRPr="00A9365E">
        <w:rPr>
          <w:rFonts w:ascii="Tw Cen MT" w:eastAsia="MS Mincho" w:hAnsi="Tw Cen MT" w:cs="Arial"/>
          <w:color w:val="000000"/>
          <w:kern w:val="0"/>
          <w:sz w:val="22"/>
          <w:szCs w:val="22"/>
          <w:lang w:eastAsia="ja-JP"/>
          <w14:ligatures w14:val="none"/>
        </w:rPr>
        <w:t xml:space="preserve">, </w:t>
      </w:r>
      <w:hyperlink r:id="rId19">
        <w:r w:rsidR="4F7B4395" w:rsidRPr="20367330">
          <w:rPr>
            <w:rStyle w:val="Hyperlink"/>
            <w:rFonts w:ascii="Tw Cen MT" w:eastAsia="MS Mincho" w:hAnsi="Tw Cen MT" w:cs="Arial"/>
            <w:sz w:val="22"/>
            <w:szCs w:val="22"/>
            <w:lang w:eastAsia="ja-JP"/>
          </w:rPr>
          <w:t>zmeng</w:t>
        </w:r>
        <w:r w:rsidR="006F103E" w:rsidRPr="20367330">
          <w:rPr>
            <w:rStyle w:val="Hyperlink"/>
            <w:rFonts w:ascii="Tw Cen MT" w:eastAsia="MS Mincho" w:hAnsi="Tw Cen MT" w:cs="Arial"/>
            <w:sz w:val="22"/>
            <w:szCs w:val="22"/>
            <w:lang w:eastAsia="ja-JP"/>
          </w:rPr>
          <w:t>@rmi.org</w:t>
        </w:r>
      </w:hyperlink>
    </w:p>
    <w:p w14:paraId="38FF9D8D" w14:textId="7FAE770E" w:rsidR="20367330" w:rsidRDefault="20367330" w:rsidP="20367330">
      <w:pPr>
        <w:jc w:val="center"/>
        <w:rPr>
          <w:rFonts w:ascii="Tw Cen MT" w:eastAsia="MS Mincho" w:hAnsi="Tw Cen MT" w:cs="Arial"/>
          <w:sz w:val="22"/>
          <w:szCs w:val="22"/>
          <w:lang w:eastAsia="ja-JP"/>
        </w:rPr>
      </w:pPr>
    </w:p>
    <w:sectPr w:rsidR="20367330" w:rsidSect="00BE5A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8754" w14:textId="77777777" w:rsidR="00CE55CC" w:rsidRDefault="00CE55CC" w:rsidP="00EB0A0B">
      <w:r>
        <w:separator/>
      </w:r>
    </w:p>
  </w:endnote>
  <w:endnote w:type="continuationSeparator" w:id="0">
    <w:p w14:paraId="16207AC1" w14:textId="77777777" w:rsidR="00CE55CC" w:rsidRDefault="00CE55CC" w:rsidP="00EB0A0B">
      <w:r>
        <w:continuationSeparator/>
      </w:r>
    </w:p>
  </w:endnote>
  <w:endnote w:type="continuationNotice" w:id="1">
    <w:p w14:paraId="070EF84A" w14:textId="77777777" w:rsidR="00CE55CC" w:rsidRDefault="00CE5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w Cen MT">
    <w:altName w:val="Calibri"/>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_MSFontService">
    <w:altName w:val="Cambria"/>
    <w:panose1 w:val="00000000000000000000"/>
    <w:charset w:val="00"/>
    <w:family w:val="roman"/>
    <w:notTrueType/>
    <w:pitch w:val="default"/>
  </w:font>
  <w:font w:name="Interstate-Light">
    <w:altName w:val="Calibri"/>
    <w:panose1 w:val="00000000000000000000"/>
    <w:charset w:val="4D"/>
    <w:family w:val="auto"/>
    <w:notTrueType/>
    <w:pitch w:val="variable"/>
    <w:sig w:usb0="00000003" w:usb1="00000000" w:usb2="00000000" w:usb3="00000000" w:csb0="00000001" w:csb1="00000000"/>
  </w:font>
  <w:font w:name="Kanit Light">
    <w:altName w:val="Browallia New"/>
    <w:charset w:val="DE"/>
    <w:family w:val="auto"/>
    <w:pitch w:val="variable"/>
    <w:sig w:usb0="A10000FF" w:usb1="5000207B" w:usb2="00000000" w:usb3="00000000" w:csb0="0001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C59C" w14:textId="77777777" w:rsidR="00CE55CC" w:rsidRDefault="00CE55CC" w:rsidP="00EB0A0B">
      <w:r>
        <w:separator/>
      </w:r>
    </w:p>
  </w:footnote>
  <w:footnote w:type="continuationSeparator" w:id="0">
    <w:p w14:paraId="6053536D" w14:textId="77777777" w:rsidR="00CE55CC" w:rsidRDefault="00CE55CC" w:rsidP="00EB0A0B">
      <w:r>
        <w:continuationSeparator/>
      </w:r>
    </w:p>
  </w:footnote>
  <w:footnote w:type="continuationNotice" w:id="1">
    <w:p w14:paraId="5C259B34" w14:textId="77777777" w:rsidR="00CE55CC" w:rsidRDefault="00CE55CC"/>
  </w:footnote>
  <w:footnote w:id="2">
    <w:p w14:paraId="3FFBC622" w14:textId="02F243D0" w:rsidR="00A215CF" w:rsidRDefault="00A215CF">
      <w:pPr>
        <w:pStyle w:val="FootnoteText"/>
      </w:pPr>
      <w:r>
        <w:rPr>
          <w:rStyle w:val="FootnoteReference"/>
        </w:rPr>
        <w:footnoteRef/>
      </w:r>
      <w:r>
        <w:t xml:space="preserve"> </w:t>
      </w:r>
      <w:r w:rsidRPr="00A215CF">
        <w:t>The C&amp;I implementation plan template which is also part of the UEDER toolkit outlines the steps, processes and recommendations for executing the business model.</w:t>
      </w:r>
    </w:p>
  </w:footnote>
  <w:footnote w:id="3">
    <w:p w14:paraId="50160BCF" w14:textId="7768C1FF" w:rsidR="00006682" w:rsidRDefault="00006682">
      <w:pPr>
        <w:pStyle w:val="FootnoteText"/>
      </w:pPr>
      <w:r>
        <w:rPr>
          <w:rStyle w:val="FootnoteReference"/>
        </w:rPr>
        <w:footnoteRef/>
      </w:r>
      <w:r>
        <w:t xml:space="preserve"> If a developer is not selected at this stage, the utility could initiate a </w:t>
      </w:r>
      <w:r w:rsidR="007C46E0">
        <w:t>procurement process to select a developer for its pipeline of projects at the preparation phase.</w:t>
      </w:r>
    </w:p>
  </w:footnote>
  <w:footnote w:id="4">
    <w:p w14:paraId="0E9A7AC7" w14:textId="1D17C886" w:rsidR="3819337D" w:rsidRDefault="3819337D" w:rsidP="3819337D">
      <w:pPr>
        <w:pStyle w:val="FootnoteText"/>
      </w:pPr>
      <w:r w:rsidRPr="3819337D">
        <w:rPr>
          <w:rStyle w:val="FootnoteReference"/>
        </w:rPr>
        <w:footnoteRef/>
      </w:r>
      <w:r>
        <w:t xml:space="preserve"> Customer identification can be done either by the Utility or the Developer </w:t>
      </w:r>
    </w:p>
  </w:footnote>
  <w:footnote w:id="5">
    <w:p w14:paraId="5B1D0029" w14:textId="107B3DDB" w:rsidR="00C5666D" w:rsidRDefault="00C5666D">
      <w:pPr>
        <w:pStyle w:val="FootnoteText"/>
      </w:pPr>
      <w:r>
        <w:rPr>
          <w:rStyle w:val="FootnoteReference"/>
        </w:rPr>
        <w:footnoteRef/>
      </w:r>
      <w:r>
        <w:t xml:space="preserve"> </w:t>
      </w:r>
      <w:r w:rsidR="00B618BB">
        <w:t xml:space="preserve">Both parties could </w:t>
      </w:r>
      <w:r w:rsidR="00710889">
        <w:t>also agree on an off-si</w:t>
      </w:r>
      <w:r w:rsidR="0041557C">
        <w:t>te solution</w:t>
      </w:r>
    </w:p>
  </w:footnote>
  <w:footnote w:id="6">
    <w:p w14:paraId="04CE73CE" w14:textId="2FDA5CE2" w:rsidR="003755BC" w:rsidRDefault="003755BC">
      <w:pPr>
        <w:pStyle w:val="FootnoteText"/>
      </w:pPr>
      <w:r>
        <w:rPr>
          <w:rStyle w:val="FootnoteReference"/>
        </w:rPr>
        <w:footnoteRef/>
      </w:r>
      <w:r>
        <w:t xml:space="preserve"> </w:t>
      </w:r>
      <w:r w:rsidR="004652EA">
        <w:t>The assigned project team will kick of various studies including determining the cost-effective way to upgrade the distribution network</w:t>
      </w:r>
      <w:r w:rsidR="00FC2755">
        <w:t xml:space="preserve"> as defined in the implementation plan document.</w:t>
      </w:r>
    </w:p>
  </w:footnote>
  <w:footnote w:id="7">
    <w:p w14:paraId="19849F02" w14:textId="429BE296" w:rsidR="007A1E82" w:rsidRDefault="007A1E82" w:rsidP="007A1E82">
      <w:pPr>
        <w:pStyle w:val="FootnoteText"/>
      </w:pPr>
      <w:r w:rsidRPr="00211EFB">
        <w:rPr>
          <w:rStyle w:val="FootnoteReference"/>
          <w:sz w:val="18"/>
          <w:szCs w:val="18"/>
        </w:rPr>
        <w:footnoteRef/>
      </w:r>
      <w:r w:rsidRPr="00211EFB">
        <w:rPr>
          <w:sz w:val="18"/>
          <w:szCs w:val="18"/>
        </w:rPr>
        <w:t xml:space="preserve"> </w:t>
      </w:r>
      <w:r w:rsidRPr="00A25EBB">
        <w:rPr>
          <w:sz w:val="18"/>
          <w:szCs w:val="18"/>
        </w:rPr>
        <w:t>Currently, 20-year DER contracts are rare</w:t>
      </w:r>
      <w:r>
        <w:rPr>
          <w:sz w:val="18"/>
          <w:szCs w:val="18"/>
        </w:rPr>
        <w:t>;</w:t>
      </w:r>
      <w:r w:rsidRPr="00A25EBB">
        <w:rPr>
          <w:sz w:val="18"/>
          <w:szCs w:val="18"/>
        </w:rPr>
        <w:t xml:space="preserve"> </w:t>
      </w:r>
      <w:r>
        <w:rPr>
          <w:sz w:val="18"/>
          <w:szCs w:val="18"/>
        </w:rPr>
        <w:t>According to industry interviews, this is due to customers’ reluctance to sign onto long-term contracts, in part due to historic price volatility.</w:t>
      </w:r>
      <w:r w:rsidRPr="00A25EBB">
        <w:rPr>
          <w:sz w:val="18"/>
          <w:szCs w:val="18"/>
        </w:rPr>
        <w:t xml:space="preserve"> However,</w:t>
      </w:r>
      <w:r>
        <w:rPr>
          <w:sz w:val="18"/>
          <w:szCs w:val="18"/>
        </w:rPr>
        <w:t xml:space="preserve"> while the template Tripartite Agreement is intended to provide structure on how to calculate tariffs to give parties the ability to predict what tariffs and electricity costs will likely be, it also provides adequate flexibility to modify the tariff based on current market conditions to account for macroeconomic volatility.</w:t>
      </w:r>
    </w:p>
  </w:footnote>
  <w:footnote w:id="8">
    <w:p w14:paraId="471DAE35" w14:textId="7F3A7FF6" w:rsidR="001073E3" w:rsidRDefault="001073E3">
      <w:pPr>
        <w:pStyle w:val="FootnoteText"/>
      </w:pPr>
      <w:r w:rsidRPr="0029395C">
        <w:rPr>
          <w:sz w:val="18"/>
          <w:szCs w:val="18"/>
        </w:rPr>
        <w:footnoteRef/>
      </w:r>
      <w:r w:rsidRPr="0029395C">
        <w:rPr>
          <w:sz w:val="18"/>
          <w:szCs w:val="18"/>
        </w:rPr>
        <w:t xml:space="preserve"> </w:t>
      </w:r>
      <w:r w:rsidR="00845D36" w:rsidRPr="0029395C">
        <w:rPr>
          <w:sz w:val="18"/>
          <w:szCs w:val="18"/>
        </w:rPr>
        <w:t xml:space="preserve">Some DER </w:t>
      </w:r>
      <w:r w:rsidR="005A1A4D" w:rsidRPr="0029395C">
        <w:rPr>
          <w:sz w:val="18"/>
          <w:szCs w:val="18"/>
        </w:rPr>
        <w:t>projects have signed agreements for 15 years</w:t>
      </w:r>
      <w:r w:rsidR="005E1501" w:rsidRPr="0029395C">
        <w:rPr>
          <w:sz w:val="18"/>
          <w:szCs w:val="18"/>
        </w:rPr>
        <w:t xml:space="preserve">, which results </w:t>
      </w:r>
      <w:r w:rsidR="0029395C">
        <w:rPr>
          <w:sz w:val="18"/>
          <w:szCs w:val="18"/>
        </w:rPr>
        <w:t>in</w:t>
      </w:r>
      <w:r w:rsidR="005E1501" w:rsidRPr="0029395C">
        <w:rPr>
          <w:sz w:val="18"/>
          <w:szCs w:val="18"/>
        </w:rPr>
        <w:t xml:space="preserve"> lower tariffs and higher cost savings</w:t>
      </w:r>
      <w:r w:rsidR="005E1501">
        <w:t xml:space="preserve"> </w:t>
      </w:r>
    </w:p>
  </w:footnote>
  <w:footnote w:id="9">
    <w:p w14:paraId="502DBCFE" w14:textId="293A8A6C" w:rsidR="06F10F4C" w:rsidRDefault="06F10F4C" w:rsidP="005B55F7">
      <w:pPr>
        <w:pStyle w:val="FootnoteText"/>
      </w:pPr>
      <w:r w:rsidRPr="06F10F4C">
        <w:rPr>
          <w:rStyle w:val="FootnoteReference"/>
        </w:rPr>
        <w:footnoteRef/>
      </w:r>
      <w:r>
        <w:t xml:space="preserve"> BAU – Business as Usual </w:t>
      </w:r>
    </w:p>
  </w:footnote>
  <w:footnote w:id="10">
    <w:p w14:paraId="73B55FDC" w14:textId="46E535F8" w:rsidR="68C5EFBA" w:rsidRDefault="68C5EFBA" w:rsidP="68C5EFBA">
      <w:pPr>
        <w:pStyle w:val="FootnoteText"/>
      </w:pPr>
      <w:r w:rsidRPr="68C5EFBA">
        <w:rPr>
          <w:rStyle w:val="FootnoteReference"/>
        </w:rPr>
        <w:footnoteRef/>
      </w:r>
      <w:r>
        <w:t xml:space="preserve"> DisCo is required to pay for grid upgrade investment if not able to co-finance, as the premium fee is designed to support the repayment plan. However, it is included in the tariff but since a DisCo liability. It is included in the DisCo portion of the tariff. </w:t>
      </w:r>
    </w:p>
  </w:footnote>
  <w:footnote w:id="11">
    <w:p w14:paraId="58A3984E" w14:textId="0880F7FD" w:rsidR="00481224" w:rsidRPr="00481224" w:rsidRDefault="00FF2477" w:rsidP="00481224">
      <w:pPr>
        <w:pStyle w:val="FootnoteText"/>
      </w:pPr>
      <w:r>
        <w:rPr>
          <w:rStyle w:val="FootnoteReference"/>
        </w:rPr>
        <w:t>9</w:t>
      </w:r>
      <w:r w:rsidR="004E4045">
        <w:t xml:space="preserve"> </w:t>
      </w:r>
      <w:r w:rsidR="00481224" w:rsidRPr="00481224">
        <w:t>means the date after which all testing and commissioning</w:t>
      </w:r>
      <w:r w:rsidR="00376EBB" w:rsidRPr="00481224">
        <w:t xml:space="preserve"> </w:t>
      </w:r>
      <w:r w:rsidR="00481224" w:rsidRPr="00481224">
        <w:t xml:space="preserve">has been completed in accordance with Good Industry Practices and is the initiation date to which the </w:t>
      </w:r>
      <w:r w:rsidR="00FA2F96">
        <w:t>developer</w:t>
      </w:r>
      <w:r w:rsidR="00481224" w:rsidRPr="00481224">
        <w:t xml:space="preserve"> can start producing electricity for sale to the Interconnected Customer pursuant to this </w:t>
      </w:r>
      <w:r w:rsidR="0048698D">
        <w:t>a</w:t>
      </w:r>
      <w:r w:rsidR="0048698D" w:rsidRPr="00481224">
        <w:t>greement.</w:t>
      </w:r>
    </w:p>
    <w:p w14:paraId="386F77AD" w14:textId="1716DFC6" w:rsidR="004E4045" w:rsidRDefault="004E40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04F6" w14:textId="6E0F1260" w:rsidR="001C538E" w:rsidRPr="009E08FB" w:rsidRDefault="00CA00BF" w:rsidP="001C538E">
    <w:pPr>
      <w:pStyle w:val="Header"/>
      <w:rPr>
        <w:i/>
        <w:iCs/>
      </w:rPr>
    </w:pPr>
    <w:r w:rsidRPr="009E08FB">
      <w:rPr>
        <w:rFonts w:cs="Arial"/>
        <w:i/>
        <w:iCs/>
        <w:noProof/>
      </w:rPr>
      <w:drawing>
        <wp:anchor distT="0" distB="0" distL="114300" distR="114300" simplePos="0" relativeHeight="251657216" behindDoc="1" locked="0" layoutInCell="1" allowOverlap="1" wp14:anchorId="2750F974" wp14:editId="5D8548F8">
          <wp:simplePos x="0" y="0"/>
          <wp:positionH relativeFrom="margin">
            <wp:align>right</wp:align>
          </wp:positionH>
          <wp:positionV relativeFrom="paragraph">
            <wp:posOffset>88</wp:posOffset>
          </wp:positionV>
          <wp:extent cx="1410012" cy="396240"/>
          <wp:effectExtent l="0" t="0" r="0" b="3810"/>
          <wp:wrapNone/>
          <wp:docPr id="86895625" name="Picture 86895625">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
                  <a:srcRect/>
                  <a:stretch/>
                </pic:blipFill>
                <pic:spPr>
                  <a:xfrm>
                    <a:off x="0" y="0"/>
                    <a:ext cx="1410012" cy="39624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b/>
        <w:bCs/>
        <w:i/>
        <w:iCs/>
        <w:color w:val="C00000"/>
        <w:sz w:val="32"/>
        <w:szCs w:val="32"/>
      </w:rPr>
      <w:t xml:space="preserve"> </w:t>
    </w:r>
  </w:p>
  <w:p w14:paraId="7C32FFD5" w14:textId="77777777" w:rsidR="001C538E" w:rsidRDefault="001C5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6A9F"/>
    <w:multiLevelType w:val="hybridMultilevel"/>
    <w:tmpl w:val="F644225C"/>
    <w:lvl w:ilvl="0" w:tplc="8978690C">
      <w:start w:val="1"/>
      <w:numFmt w:val="bullet"/>
      <w:lvlText w:val=""/>
      <w:lvlJc w:val="left"/>
      <w:pPr>
        <w:ind w:left="720" w:hanging="360"/>
      </w:pPr>
      <w:rPr>
        <w:rFonts w:ascii="Symbol" w:hAnsi="Symbol" w:hint="default"/>
      </w:rPr>
    </w:lvl>
    <w:lvl w:ilvl="1" w:tplc="6938EEA0">
      <w:start w:val="1"/>
      <w:numFmt w:val="bullet"/>
      <w:lvlText w:val="o"/>
      <w:lvlJc w:val="left"/>
      <w:pPr>
        <w:ind w:left="1440" w:hanging="360"/>
      </w:pPr>
      <w:rPr>
        <w:rFonts w:ascii="Courier New" w:hAnsi="Courier New" w:hint="default"/>
      </w:rPr>
    </w:lvl>
    <w:lvl w:ilvl="2" w:tplc="3410BA52">
      <w:start w:val="1"/>
      <w:numFmt w:val="bullet"/>
      <w:lvlText w:val=""/>
      <w:lvlJc w:val="left"/>
      <w:pPr>
        <w:ind w:left="2160" w:hanging="360"/>
      </w:pPr>
      <w:rPr>
        <w:rFonts w:ascii="Wingdings" w:hAnsi="Wingdings" w:hint="default"/>
      </w:rPr>
    </w:lvl>
    <w:lvl w:ilvl="3" w:tplc="8CF619EA">
      <w:start w:val="1"/>
      <w:numFmt w:val="bullet"/>
      <w:lvlText w:val=""/>
      <w:lvlJc w:val="left"/>
      <w:pPr>
        <w:ind w:left="2880" w:hanging="360"/>
      </w:pPr>
      <w:rPr>
        <w:rFonts w:ascii="Symbol" w:hAnsi="Symbol" w:hint="default"/>
      </w:rPr>
    </w:lvl>
    <w:lvl w:ilvl="4" w:tplc="A35C6A7E">
      <w:start w:val="1"/>
      <w:numFmt w:val="bullet"/>
      <w:lvlText w:val="o"/>
      <w:lvlJc w:val="left"/>
      <w:pPr>
        <w:ind w:left="3600" w:hanging="360"/>
      </w:pPr>
      <w:rPr>
        <w:rFonts w:ascii="Courier New" w:hAnsi="Courier New" w:hint="default"/>
      </w:rPr>
    </w:lvl>
    <w:lvl w:ilvl="5" w:tplc="E5EE77AC">
      <w:start w:val="1"/>
      <w:numFmt w:val="bullet"/>
      <w:lvlText w:val=""/>
      <w:lvlJc w:val="left"/>
      <w:pPr>
        <w:ind w:left="4320" w:hanging="360"/>
      </w:pPr>
      <w:rPr>
        <w:rFonts w:ascii="Wingdings" w:hAnsi="Wingdings" w:hint="default"/>
      </w:rPr>
    </w:lvl>
    <w:lvl w:ilvl="6" w:tplc="8DFEEB94">
      <w:start w:val="1"/>
      <w:numFmt w:val="bullet"/>
      <w:lvlText w:val=""/>
      <w:lvlJc w:val="left"/>
      <w:pPr>
        <w:ind w:left="5040" w:hanging="360"/>
      </w:pPr>
      <w:rPr>
        <w:rFonts w:ascii="Symbol" w:hAnsi="Symbol" w:hint="default"/>
      </w:rPr>
    </w:lvl>
    <w:lvl w:ilvl="7" w:tplc="43068BD0">
      <w:start w:val="1"/>
      <w:numFmt w:val="bullet"/>
      <w:lvlText w:val="o"/>
      <w:lvlJc w:val="left"/>
      <w:pPr>
        <w:ind w:left="5760" w:hanging="360"/>
      </w:pPr>
      <w:rPr>
        <w:rFonts w:ascii="Courier New" w:hAnsi="Courier New" w:hint="default"/>
      </w:rPr>
    </w:lvl>
    <w:lvl w:ilvl="8" w:tplc="0D7A4906">
      <w:start w:val="1"/>
      <w:numFmt w:val="bullet"/>
      <w:lvlText w:val=""/>
      <w:lvlJc w:val="left"/>
      <w:pPr>
        <w:ind w:left="6480" w:hanging="360"/>
      </w:pPr>
      <w:rPr>
        <w:rFonts w:ascii="Wingdings" w:hAnsi="Wingdings" w:hint="default"/>
      </w:rPr>
    </w:lvl>
  </w:abstractNum>
  <w:abstractNum w:abstractNumId="1" w15:restartNumberingAfterBreak="0">
    <w:nsid w:val="0E9805B2"/>
    <w:multiLevelType w:val="hybridMultilevel"/>
    <w:tmpl w:val="1BE0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02AFC"/>
    <w:multiLevelType w:val="hybridMultilevel"/>
    <w:tmpl w:val="3D4AC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722F53"/>
    <w:multiLevelType w:val="hybridMultilevel"/>
    <w:tmpl w:val="38E4E920"/>
    <w:lvl w:ilvl="0" w:tplc="08090005">
      <w:start w:val="1"/>
      <w:numFmt w:val="bullet"/>
      <w:lvlText w:val=""/>
      <w:lvlJc w:val="left"/>
      <w:pPr>
        <w:ind w:left="720" w:hanging="360"/>
      </w:pPr>
      <w:rPr>
        <w:rFonts w:ascii="Wingdings" w:hAnsi="Wingdings" w:hint="default"/>
      </w:rPr>
    </w:lvl>
    <w:lvl w:ilvl="1" w:tplc="1CD0C74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93D"/>
    <w:multiLevelType w:val="hybridMultilevel"/>
    <w:tmpl w:val="8A84504A"/>
    <w:lvl w:ilvl="0" w:tplc="BBD691AC">
      <w:start w:val="1"/>
      <w:numFmt w:val="bullet"/>
      <w:lvlText w:val=""/>
      <w:lvlJc w:val="left"/>
      <w:pPr>
        <w:ind w:left="720" w:hanging="360"/>
      </w:pPr>
      <w:rPr>
        <w:rFonts w:ascii="Symbol" w:hAnsi="Symbo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3476644">
    <w:abstractNumId w:val="0"/>
  </w:num>
  <w:num w:numId="2" w16cid:durableId="1840583232">
    <w:abstractNumId w:val="3"/>
  </w:num>
  <w:num w:numId="3" w16cid:durableId="1334990464">
    <w:abstractNumId w:val="2"/>
  </w:num>
  <w:num w:numId="4" w16cid:durableId="21041868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7494945">
    <w:abstractNumId w:val="4"/>
  </w:num>
  <w:num w:numId="6" w16cid:durableId="65700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1"/>
    <w:rsid w:val="000019B2"/>
    <w:rsid w:val="00004ADB"/>
    <w:rsid w:val="00006682"/>
    <w:rsid w:val="00006CA8"/>
    <w:rsid w:val="00007F88"/>
    <w:rsid w:val="00023539"/>
    <w:rsid w:val="00026436"/>
    <w:rsid w:val="00034CC4"/>
    <w:rsid w:val="000355B7"/>
    <w:rsid w:val="0003579E"/>
    <w:rsid w:val="0003631D"/>
    <w:rsid w:val="00036EC3"/>
    <w:rsid w:val="000407C3"/>
    <w:rsid w:val="00041EC2"/>
    <w:rsid w:val="00047A75"/>
    <w:rsid w:val="00055260"/>
    <w:rsid w:val="0006082F"/>
    <w:rsid w:val="00066930"/>
    <w:rsid w:val="00066D0D"/>
    <w:rsid w:val="00066E8A"/>
    <w:rsid w:val="000707AA"/>
    <w:rsid w:val="00074354"/>
    <w:rsid w:val="0009188F"/>
    <w:rsid w:val="000945A0"/>
    <w:rsid w:val="00096261"/>
    <w:rsid w:val="000962DE"/>
    <w:rsid w:val="00097DD0"/>
    <w:rsid w:val="000A2678"/>
    <w:rsid w:val="000A66EF"/>
    <w:rsid w:val="000A7A8C"/>
    <w:rsid w:val="000B112D"/>
    <w:rsid w:val="000B1727"/>
    <w:rsid w:val="000B48FC"/>
    <w:rsid w:val="000B57B0"/>
    <w:rsid w:val="000B5A70"/>
    <w:rsid w:val="000B67DC"/>
    <w:rsid w:val="000C51B5"/>
    <w:rsid w:val="000C5BA6"/>
    <w:rsid w:val="000C604F"/>
    <w:rsid w:val="000C7EC4"/>
    <w:rsid w:val="000D15C7"/>
    <w:rsid w:val="000D4CEB"/>
    <w:rsid w:val="000D6276"/>
    <w:rsid w:val="000D6657"/>
    <w:rsid w:val="000D673F"/>
    <w:rsid w:val="000E6168"/>
    <w:rsid w:val="000F0F36"/>
    <w:rsid w:val="000F2DF2"/>
    <w:rsid w:val="000F5BB3"/>
    <w:rsid w:val="000F6664"/>
    <w:rsid w:val="00101C31"/>
    <w:rsid w:val="001033CE"/>
    <w:rsid w:val="001069E7"/>
    <w:rsid w:val="001073E3"/>
    <w:rsid w:val="001123A5"/>
    <w:rsid w:val="00113BBC"/>
    <w:rsid w:val="00116AEA"/>
    <w:rsid w:val="001172DE"/>
    <w:rsid w:val="00120318"/>
    <w:rsid w:val="0012058E"/>
    <w:rsid w:val="00120DC8"/>
    <w:rsid w:val="00120EAF"/>
    <w:rsid w:val="00132E00"/>
    <w:rsid w:val="00133C27"/>
    <w:rsid w:val="00134623"/>
    <w:rsid w:val="0013706D"/>
    <w:rsid w:val="00140543"/>
    <w:rsid w:val="00142173"/>
    <w:rsid w:val="00142841"/>
    <w:rsid w:val="0014433F"/>
    <w:rsid w:val="001468FE"/>
    <w:rsid w:val="0015637E"/>
    <w:rsid w:val="00156A4F"/>
    <w:rsid w:val="001576EA"/>
    <w:rsid w:val="001609E2"/>
    <w:rsid w:val="00162420"/>
    <w:rsid w:val="001625F9"/>
    <w:rsid w:val="00164CAC"/>
    <w:rsid w:val="0016690A"/>
    <w:rsid w:val="00166D9B"/>
    <w:rsid w:val="00167EC3"/>
    <w:rsid w:val="0017147A"/>
    <w:rsid w:val="00180195"/>
    <w:rsid w:val="0018056F"/>
    <w:rsid w:val="00182C50"/>
    <w:rsid w:val="00183A21"/>
    <w:rsid w:val="001954DB"/>
    <w:rsid w:val="00197CEA"/>
    <w:rsid w:val="001A0E55"/>
    <w:rsid w:val="001A4754"/>
    <w:rsid w:val="001B1D56"/>
    <w:rsid w:val="001B2144"/>
    <w:rsid w:val="001B26A7"/>
    <w:rsid w:val="001B4EA3"/>
    <w:rsid w:val="001C538E"/>
    <w:rsid w:val="001C5CD9"/>
    <w:rsid w:val="001D7C39"/>
    <w:rsid w:val="001E1B6C"/>
    <w:rsid w:val="001E397D"/>
    <w:rsid w:val="001E4F2F"/>
    <w:rsid w:val="001E6AF6"/>
    <w:rsid w:val="001E76D0"/>
    <w:rsid w:val="001E7DFA"/>
    <w:rsid w:val="001F33AF"/>
    <w:rsid w:val="001F4BC6"/>
    <w:rsid w:val="001F543A"/>
    <w:rsid w:val="001F7953"/>
    <w:rsid w:val="00200FDB"/>
    <w:rsid w:val="00201B1B"/>
    <w:rsid w:val="00202497"/>
    <w:rsid w:val="00202EA4"/>
    <w:rsid w:val="002039A6"/>
    <w:rsid w:val="0020580C"/>
    <w:rsid w:val="00215D2A"/>
    <w:rsid w:val="002162E7"/>
    <w:rsid w:val="002167A0"/>
    <w:rsid w:val="00216C30"/>
    <w:rsid w:val="002173B7"/>
    <w:rsid w:val="00221123"/>
    <w:rsid w:val="00221A2D"/>
    <w:rsid w:val="00223F3B"/>
    <w:rsid w:val="002309E3"/>
    <w:rsid w:val="00231A31"/>
    <w:rsid w:val="00232AD1"/>
    <w:rsid w:val="00232D7B"/>
    <w:rsid w:val="00235BFC"/>
    <w:rsid w:val="00236197"/>
    <w:rsid w:val="002475A1"/>
    <w:rsid w:val="00254F13"/>
    <w:rsid w:val="0025665E"/>
    <w:rsid w:val="00257776"/>
    <w:rsid w:val="002606BE"/>
    <w:rsid w:val="00260EBD"/>
    <w:rsid w:val="00262042"/>
    <w:rsid w:val="00262843"/>
    <w:rsid w:val="002641DD"/>
    <w:rsid w:val="002645C4"/>
    <w:rsid w:val="00264855"/>
    <w:rsid w:val="0027161E"/>
    <w:rsid w:val="002734A5"/>
    <w:rsid w:val="00276182"/>
    <w:rsid w:val="002804AE"/>
    <w:rsid w:val="00280DD8"/>
    <w:rsid w:val="00285CBD"/>
    <w:rsid w:val="0029129F"/>
    <w:rsid w:val="002919B1"/>
    <w:rsid w:val="00291D71"/>
    <w:rsid w:val="00293141"/>
    <w:rsid w:val="0029395C"/>
    <w:rsid w:val="002939EB"/>
    <w:rsid w:val="0029619C"/>
    <w:rsid w:val="0029671C"/>
    <w:rsid w:val="00296EF4"/>
    <w:rsid w:val="002979EC"/>
    <w:rsid w:val="002A01B0"/>
    <w:rsid w:val="002A5959"/>
    <w:rsid w:val="002B03ED"/>
    <w:rsid w:val="002B0A28"/>
    <w:rsid w:val="002B3229"/>
    <w:rsid w:val="002B73C9"/>
    <w:rsid w:val="002B7634"/>
    <w:rsid w:val="002C3CD5"/>
    <w:rsid w:val="002C4395"/>
    <w:rsid w:val="002C6C42"/>
    <w:rsid w:val="002D56AC"/>
    <w:rsid w:val="002D5861"/>
    <w:rsid w:val="002D61A6"/>
    <w:rsid w:val="002E27BD"/>
    <w:rsid w:val="002F1EBF"/>
    <w:rsid w:val="002F6518"/>
    <w:rsid w:val="002F7B8C"/>
    <w:rsid w:val="00300702"/>
    <w:rsid w:val="003028DA"/>
    <w:rsid w:val="00302E92"/>
    <w:rsid w:val="003053D0"/>
    <w:rsid w:val="003078E8"/>
    <w:rsid w:val="00311FAE"/>
    <w:rsid w:val="00312BF2"/>
    <w:rsid w:val="003138AD"/>
    <w:rsid w:val="003139D7"/>
    <w:rsid w:val="00314C70"/>
    <w:rsid w:val="00316FF1"/>
    <w:rsid w:val="0031785A"/>
    <w:rsid w:val="00320E8B"/>
    <w:rsid w:val="00322534"/>
    <w:rsid w:val="00325BB7"/>
    <w:rsid w:val="00325EDD"/>
    <w:rsid w:val="00326995"/>
    <w:rsid w:val="00333209"/>
    <w:rsid w:val="00334338"/>
    <w:rsid w:val="00342577"/>
    <w:rsid w:val="00343DE6"/>
    <w:rsid w:val="00345054"/>
    <w:rsid w:val="00357210"/>
    <w:rsid w:val="00357467"/>
    <w:rsid w:val="00357DB1"/>
    <w:rsid w:val="00361031"/>
    <w:rsid w:val="00362704"/>
    <w:rsid w:val="00364E6C"/>
    <w:rsid w:val="003650D1"/>
    <w:rsid w:val="003755BC"/>
    <w:rsid w:val="00376EBB"/>
    <w:rsid w:val="003775F0"/>
    <w:rsid w:val="00381B12"/>
    <w:rsid w:val="003825DC"/>
    <w:rsid w:val="00382B08"/>
    <w:rsid w:val="00383C81"/>
    <w:rsid w:val="003867B5"/>
    <w:rsid w:val="00390F04"/>
    <w:rsid w:val="00391994"/>
    <w:rsid w:val="00391F35"/>
    <w:rsid w:val="00394E21"/>
    <w:rsid w:val="00395BDA"/>
    <w:rsid w:val="003A347D"/>
    <w:rsid w:val="003A3BC1"/>
    <w:rsid w:val="003A49AB"/>
    <w:rsid w:val="003AC55F"/>
    <w:rsid w:val="003B010A"/>
    <w:rsid w:val="003B040A"/>
    <w:rsid w:val="003B2B1A"/>
    <w:rsid w:val="003B3229"/>
    <w:rsid w:val="003B4257"/>
    <w:rsid w:val="003B5C27"/>
    <w:rsid w:val="003D1BA3"/>
    <w:rsid w:val="003D30FE"/>
    <w:rsid w:val="003D6236"/>
    <w:rsid w:val="003D64A6"/>
    <w:rsid w:val="003E0A00"/>
    <w:rsid w:val="003E11CF"/>
    <w:rsid w:val="003E1F03"/>
    <w:rsid w:val="003E2048"/>
    <w:rsid w:val="003E3FF3"/>
    <w:rsid w:val="003E5229"/>
    <w:rsid w:val="003F0B1F"/>
    <w:rsid w:val="003F0D0D"/>
    <w:rsid w:val="003F4159"/>
    <w:rsid w:val="003F4A3F"/>
    <w:rsid w:val="003F4F33"/>
    <w:rsid w:val="003F67CC"/>
    <w:rsid w:val="0040153D"/>
    <w:rsid w:val="00402092"/>
    <w:rsid w:val="00405E05"/>
    <w:rsid w:val="0041247C"/>
    <w:rsid w:val="0041557C"/>
    <w:rsid w:val="004156F5"/>
    <w:rsid w:val="0042414E"/>
    <w:rsid w:val="004306DC"/>
    <w:rsid w:val="00432A80"/>
    <w:rsid w:val="004333FC"/>
    <w:rsid w:val="004345D3"/>
    <w:rsid w:val="004364BC"/>
    <w:rsid w:val="00440E2F"/>
    <w:rsid w:val="004446EE"/>
    <w:rsid w:val="00446A1A"/>
    <w:rsid w:val="00446E48"/>
    <w:rsid w:val="00447D33"/>
    <w:rsid w:val="00452F96"/>
    <w:rsid w:val="00453015"/>
    <w:rsid w:val="0045589D"/>
    <w:rsid w:val="0045788C"/>
    <w:rsid w:val="0046062E"/>
    <w:rsid w:val="00461B35"/>
    <w:rsid w:val="00462672"/>
    <w:rsid w:val="00462E3E"/>
    <w:rsid w:val="004647DB"/>
    <w:rsid w:val="004652EA"/>
    <w:rsid w:val="00472494"/>
    <w:rsid w:val="0047706F"/>
    <w:rsid w:val="004772F7"/>
    <w:rsid w:val="00480412"/>
    <w:rsid w:val="00481224"/>
    <w:rsid w:val="00481A8B"/>
    <w:rsid w:val="00482778"/>
    <w:rsid w:val="004842D7"/>
    <w:rsid w:val="00486014"/>
    <w:rsid w:val="004863FC"/>
    <w:rsid w:val="0048698D"/>
    <w:rsid w:val="0048716F"/>
    <w:rsid w:val="00491473"/>
    <w:rsid w:val="00496809"/>
    <w:rsid w:val="004A53C3"/>
    <w:rsid w:val="004A72F1"/>
    <w:rsid w:val="004B0B56"/>
    <w:rsid w:val="004B2DDC"/>
    <w:rsid w:val="004B3CFD"/>
    <w:rsid w:val="004B6BFF"/>
    <w:rsid w:val="004C2AA5"/>
    <w:rsid w:val="004C2C5D"/>
    <w:rsid w:val="004C398C"/>
    <w:rsid w:val="004D54EB"/>
    <w:rsid w:val="004D61BF"/>
    <w:rsid w:val="004E1011"/>
    <w:rsid w:val="004E4045"/>
    <w:rsid w:val="004E5719"/>
    <w:rsid w:val="004E6AA1"/>
    <w:rsid w:val="004E7271"/>
    <w:rsid w:val="004F3F9F"/>
    <w:rsid w:val="004F6550"/>
    <w:rsid w:val="004F772D"/>
    <w:rsid w:val="004F7C50"/>
    <w:rsid w:val="00502D5F"/>
    <w:rsid w:val="0050366D"/>
    <w:rsid w:val="00504141"/>
    <w:rsid w:val="00504A5D"/>
    <w:rsid w:val="005050D2"/>
    <w:rsid w:val="0051139F"/>
    <w:rsid w:val="00512E10"/>
    <w:rsid w:val="0051530A"/>
    <w:rsid w:val="0051594F"/>
    <w:rsid w:val="00516552"/>
    <w:rsid w:val="00516E93"/>
    <w:rsid w:val="00517733"/>
    <w:rsid w:val="005179C7"/>
    <w:rsid w:val="00524840"/>
    <w:rsid w:val="00527C53"/>
    <w:rsid w:val="00527D88"/>
    <w:rsid w:val="00535FBB"/>
    <w:rsid w:val="00537A70"/>
    <w:rsid w:val="00540299"/>
    <w:rsid w:val="005403F3"/>
    <w:rsid w:val="0054217F"/>
    <w:rsid w:val="00543406"/>
    <w:rsid w:val="00543E38"/>
    <w:rsid w:val="00551575"/>
    <w:rsid w:val="00551E9B"/>
    <w:rsid w:val="00552B36"/>
    <w:rsid w:val="00554A08"/>
    <w:rsid w:val="00555035"/>
    <w:rsid w:val="00563908"/>
    <w:rsid w:val="00573036"/>
    <w:rsid w:val="00573E2B"/>
    <w:rsid w:val="00574E96"/>
    <w:rsid w:val="005761E1"/>
    <w:rsid w:val="005818A8"/>
    <w:rsid w:val="005842D5"/>
    <w:rsid w:val="00587E7D"/>
    <w:rsid w:val="00590CC8"/>
    <w:rsid w:val="005919DA"/>
    <w:rsid w:val="00591D2D"/>
    <w:rsid w:val="005924B7"/>
    <w:rsid w:val="005951B8"/>
    <w:rsid w:val="005A1A4D"/>
    <w:rsid w:val="005B09F0"/>
    <w:rsid w:val="005B36E2"/>
    <w:rsid w:val="005B55F7"/>
    <w:rsid w:val="005C2187"/>
    <w:rsid w:val="005D357E"/>
    <w:rsid w:val="005D5D92"/>
    <w:rsid w:val="005E05C9"/>
    <w:rsid w:val="005E1501"/>
    <w:rsid w:val="005E5C57"/>
    <w:rsid w:val="005E6F0E"/>
    <w:rsid w:val="005E7C94"/>
    <w:rsid w:val="005F127E"/>
    <w:rsid w:val="005F261D"/>
    <w:rsid w:val="005F3320"/>
    <w:rsid w:val="00605D63"/>
    <w:rsid w:val="00606C04"/>
    <w:rsid w:val="00607822"/>
    <w:rsid w:val="00613286"/>
    <w:rsid w:val="006221EA"/>
    <w:rsid w:val="00631689"/>
    <w:rsid w:val="00632E66"/>
    <w:rsid w:val="0063332E"/>
    <w:rsid w:val="006344DF"/>
    <w:rsid w:val="00635B67"/>
    <w:rsid w:val="006368BE"/>
    <w:rsid w:val="006412CB"/>
    <w:rsid w:val="00651FE4"/>
    <w:rsid w:val="006527C3"/>
    <w:rsid w:val="00653887"/>
    <w:rsid w:val="0065595F"/>
    <w:rsid w:val="006569EA"/>
    <w:rsid w:val="0066024B"/>
    <w:rsid w:val="006609E4"/>
    <w:rsid w:val="006633DA"/>
    <w:rsid w:val="00663659"/>
    <w:rsid w:val="00663C99"/>
    <w:rsid w:val="00666E48"/>
    <w:rsid w:val="00680449"/>
    <w:rsid w:val="0068257B"/>
    <w:rsid w:val="00683098"/>
    <w:rsid w:val="00683DE9"/>
    <w:rsid w:val="00683FD9"/>
    <w:rsid w:val="00686AA8"/>
    <w:rsid w:val="00693EEA"/>
    <w:rsid w:val="006A2765"/>
    <w:rsid w:val="006A2926"/>
    <w:rsid w:val="006A6478"/>
    <w:rsid w:val="006A6BDD"/>
    <w:rsid w:val="006B6222"/>
    <w:rsid w:val="006B7E1F"/>
    <w:rsid w:val="006C1925"/>
    <w:rsid w:val="006D3510"/>
    <w:rsid w:val="006D3A24"/>
    <w:rsid w:val="006E0146"/>
    <w:rsid w:val="006E0D02"/>
    <w:rsid w:val="006E455B"/>
    <w:rsid w:val="006E7405"/>
    <w:rsid w:val="006F103E"/>
    <w:rsid w:val="006F1C9B"/>
    <w:rsid w:val="006F31AF"/>
    <w:rsid w:val="006F3A61"/>
    <w:rsid w:val="006F40A4"/>
    <w:rsid w:val="006F4C7A"/>
    <w:rsid w:val="007026F1"/>
    <w:rsid w:val="00703DDF"/>
    <w:rsid w:val="00703FF2"/>
    <w:rsid w:val="00710889"/>
    <w:rsid w:val="00710BC5"/>
    <w:rsid w:val="0071706E"/>
    <w:rsid w:val="007228B8"/>
    <w:rsid w:val="00725C91"/>
    <w:rsid w:val="00733246"/>
    <w:rsid w:val="00736D13"/>
    <w:rsid w:val="00740379"/>
    <w:rsid w:val="00744A68"/>
    <w:rsid w:val="0074571E"/>
    <w:rsid w:val="007526E3"/>
    <w:rsid w:val="00752AE6"/>
    <w:rsid w:val="00754EEC"/>
    <w:rsid w:val="00755425"/>
    <w:rsid w:val="00755A57"/>
    <w:rsid w:val="00761088"/>
    <w:rsid w:val="00761A13"/>
    <w:rsid w:val="0076704D"/>
    <w:rsid w:val="00767B36"/>
    <w:rsid w:val="007702CD"/>
    <w:rsid w:val="0077464D"/>
    <w:rsid w:val="00774759"/>
    <w:rsid w:val="007767CB"/>
    <w:rsid w:val="00781CFF"/>
    <w:rsid w:val="0078579D"/>
    <w:rsid w:val="0079291D"/>
    <w:rsid w:val="00793253"/>
    <w:rsid w:val="00797A57"/>
    <w:rsid w:val="00797D3E"/>
    <w:rsid w:val="007A0647"/>
    <w:rsid w:val="007A1E82"/>
    <w:rsid w:val="007A69A2"/>
    <w:rsid w:val="007A6B46"/>
    <w:rsid w:val="007A7C2B"/>
    <w:rsid w:val="007B18E4"/>
    <w:rsid w:val="007B4858"/>
    <w:rsid w:val="007C46E0"/>
    <w:rsid w:val="007C6B81"/>
    <w:rsid w:val="007D16D2"/>
    <w:rsid w:val="007D6B12"/>
    <w:rsid w:val="007E34BC"/>
    <w:rsid w:val="007E6315"/>
    <w:rsid w:val="007E686E"/>
    <w:rsid w:val="007F0986"/>
    <w:rsid w:val="007F4677"/>
    <w:rsid w:val="007F5938"/>
    <w:rsid w:val="0080136C"/>
    <w:rsid w:val="008013DC"/>
    <w:rsid w:val="00802241"/>
    <w:rsid w:val="0080369D"/>
    <w:rsid w:val="00803B2C"/>
    <w:rsid w:val="00803C44"/>
    <w:rsid w:val="00804386"/>
    <w:rsid w:val="00811217"/>
    <w:rsid w:val="008128D6"/>
    <w:rsid w:val="00821511"/>
    <w:rsid w:val="008215FF"/>
    <w:rsid w:val="00822528"/>
    <w:rsid w:val="00823B17"/>
    <w:rsid w:val="00825160"/>
    <w:rsid w:val="00827636"/>
    <w:rsid w:val="00834297"/>
    <w:rsid w:val="0083613A"/>
    <w:rsid w:val="00837C27"/>
    <w:rsid w:val="00840291"/>
    <w:rsid w:val="00841174"/>
    <w:rsid w:val="00842CB8"/>
    <w:rsid w:val="00844F7C"/>
    <w:rsid w:val="00845D36"/>
    <w:rsid w:val="008467A7"/>
    <w:rsid w:val="00846B1C"/>
    <w:rsid w:val="00850B48"/>
    <w:rsid w:val="00850ECA"/>
    <w:rsid w:val="00851D60"/>
    <w:rsid w:val="00861702"/>
    <w:rsid w:val="00862BC2"/>
    <w:rsid w:val="00864BB9"/>
    <w:rsid w:val="0086512D"/>
    <w:rsid w:val="00870F25"/>
    <w:rsid w:val="00874150"/>
    <w:rsid w:val="00875DBF"/>
    <w:rsid w:val="00877C48"/>
    <w:rsid w:val="00881369"/>
    <w:rsid w:val="00881A2E"/>
    <w:rsid w:val="00883774"/>
    <w:rsid w:val="00885E99"/>
    <w:rsid w:val="00890944"/>
    <w:rsid w:val="00891677"/>
    <w:rsid w:val="00897D34"/>
    <w:rsid w:val="008A5B2B"/>
    <w:rsid w:val="008A7ECA"/>
    <w:rsid w:val="008B00DC"/>
    <w:rsid w:val="008B0944"/>
    <w:rsid w:val="008B566F"/>
    <w:rsid w:val="008C61D6"/>
    <w:rsid w:val="008D0B43"/>
    <w:rsid w:val="008D6FC0"/>
    <w:rsid w:val="008D7338"/>
    <w:rsid w:val="008E2438"/>
    <w:rsid w:val="008E2C5E"/>
    <w:rsid w:val="008E79C8"/>
    <w:rsid w:val="008E7B89"/>
    <w:rsid w:val="008F0AF0"/>
    <w:rsid w:val="008F1F15"/>
    <w:rsid w:val="008F4347"/>
    <w:rsid w:val="008F4D9B"/>
    <w:rsid w:val="008F62F5"/>
    <w:rsid w:val="0090046C"/>
    <w:rsid w:val="00911BCB"/>
    <w:rsid w:val="00913328"/>
    <w:rsid w:val="00913B0B"/>
    <w:rsid w:val="009158B0"/>
    <w:rsid w:val="00915A48"/>
    <w:rsid w:val="00916E24"/>
    <w:rsid w:val="00922385"/>
    <w:rsid w:val="00923BC7"/>
    <w:rsid w:val="009324F9"/>
    <w:rsid w:val="00934446"/>
    <w:rsid w:val="00934D3D"/>
    <w:rsid w:val="0094267F"/>
    <w:rsid w:val="00951C5C"/>
    <w:rsid w:val="00952F96"/>
    <w:rsid w:val="0095771A"/>
    <w:rsid w:val="009646D3"/>
    <w:rsid w:val="009723B1"/>
    <w:rsid w:val="009755EC"/>
    <w:rsid w:val="009838DC"/>
    <w:rsid w:val="0098520C"/>
    <w:rsid w:val="00985792"/>
    <w:rsid w:val="00985D58"/>
    <w:rsid w:val="009879E0"/>
    <w:rsid w:val="00987D8E"/>
    <w:rsid w:val="0099162F"/>
    <w:rsid w:val="00992D5D"/>
    <w:rsid w:val="00993568"/>
    <w:rsid w:val="00995945"/>
    <w:rsid w:val="009965A3"/>
    <w:rsid w:val="009A4217"/>
    <w:rsid w:val="009A637E"/>
    <w:rsid w:val="009B1AD0"/>
    <w:rsid w:val="009C517F"/>
    <w:rsid w:val="009C685D"/>
    <w:rsid w:val="009D0771"/>
    <w:rsid w:val="009D1D8F"/>
    <w:rsid w:val="009D296D"/>
    <w:rsid w:val="009D3643"/>
    <w:rsid w:val="009D5D4A"/>
    <w:rsid w:val="009E1742"/>
    <w:rsid w:val="009E18BC"/>
    <w:rsid w:val="009E42AC"/>
    <w:rsid w:val="009E5AE6"/>
    <w:rsid w:val="009E75C8"/>
    <w:rsid w:val="009F42BE"/>
    <w:rsid w:val="009F5CF7"/>
    <w:rsid w:val="009F6944"/>
    <w:rsid w:val="00A023CD"/>
    <w:rsid w:val="00A02DC1"/>
    <w:rsid w:val="00A0380C"/>
    <w:rsid w:val="00A046BA"/>
    <w:rsid w:val="00A0557E"/>
    <w:rsid w:val="00A05D7D"/>
    <w:rsid w:val="00A06027"/>
    <w:rsid w:val="00A12220"/>
    <w:rsid w:val="00A146C0"/>
    <w:rsid w:val="00A157DA"/>
    <w:rsid w:val="00A16062"/>
    <w:rsid w:val="00A215CF"/>
    <w:rsid w:val="00A246DB"/>
    <w:rsid w:val="00A24FC7"/>
    <w:rsid w:val="00A27D42"/>
    <w:rsid w:val="00A3093B"/>
    <w:rsid w:val="00A324E1"/>
    <w:rsid w:val="00A34035"/>
    <w:rsid w:val="00A4374D"/>
    <w:rsid w:val="00A44126"/>
    <w:rsid w:val="00A47ADD"/>
    <w:rsid w:val="00A519AD"/>
    <w:rsid w:val="00A53B3B"/>
    <w:rsid w:val="00A54E5F"/>
    <w:rsid w:val="00A54E95"/>
    <w:rsid w:val="00A568F0"/>
    <w:rsid w:val="00A60204"/>
    <w:rsid w:val="00A606AA"/>
    <w:rsid w:val="00A6212C"/>
    <w:rsid w:val="00A65043"/>
    <w:rsid w:val="00A701AB"/>
    <w:rsid w:val="00A723A8"/>
    <w:rsid w:val="00A764B9"/>
    <w:rsid w:val="00A77BD6"/>
    <w:rsid w:val="00A8237E"/>
    <w:rsid w:val="00A82F57"/>
    <w:rsid w:val="00A86495"/>
    <w:rsid w:val="00A9365E"/>
    <w:rsid w:val="00A96841"/>
    <w:rsid w:val="00A97323"/>
    <w:rsid w:val="00A977D9"/>
    <w:rsid w:val="00AA0D2B"/>
    <w:rsid w:val="00AA21F9"/>
    <w:rsid w:val="00AA4773"/>
    <w:rsid w:val="00AA6D6D"/>
    <w:rsid w:val="00AB3B43"/>
    <w:rsid w:val="00AB3D2A"/>
    <w:rsid w:val="00AB4D2B"/>
    <w:rsid w:val="00AB6561"/>
    <w:rsid w:val="00AB691D"/>
    <w:rsid w:val="00AC1702"/>
    <w:rsid w:val="00AC1B86"/>
    <w:rsid w:val="00AC1E3D"/>
    <w:rsid w:val="00AC2D8B"/>
    <w:rsid w:val="00AC2EA6"/>
    <w:rsid w:val="00AC5C73"/>
    <w:rsid w:val="00AD67AC"/>
    <w:rsid w:val="00AE0251"/>
    <w:rsid w:val="00AE23A6"/>
    <w:rsid w:val="00AE2BA7"/>
    <w:rsid w:val="00AF0F85"/>
    <w:rsid w:val="00AF5F3D"/>
    <w:rsid w:val="00AF65D5"/>
    <w:rsid w:val="00AF739E"/>
    <w:rsid w:val="00B004C4"/>
    <w:rsid w:val="00B041F2"/>
    <w:rsid w:val="00B11329"/>
    <w:rsid w:val="00B11447"/>
    <w:rsid w:val="00B17DE8"/>
    <w:rsid w:val="00B20AF2"/>
    <w:rsid w:val="00B31714"/>
    <w:rsid w:val="00B31CEC"/>
    <w:rsid w:val="00B3221E"/>
    <w:rsid w:val="00B37483"/>
    <w:rsid w:val="00B4549E"/>
    <w:rsid w:val="00B454B9"/>
    <w:rsid w:val="00B47CFB"/>
    <w:rsid w:val="00B50782"/>
    <w:rsid w:val="00B568C7"/>
    <w:rsid w:val="00B56D0D"/>
    <w:rsid w:val="00B60D72"/>
    <w:rsid w:val="00B618BB"/>
    <w:rsid w:val="00B6218B"/>
    <w:rsid w:val="00B62D9F"/>
    <w:rsid w:val="00B64108"/>
    <w:rsid w:val="00B645DA"/>
    <w:rsid w:val="00B662B5"/>
    <w:rsid w:val="00B66B8F"/>
    <w:rsid w:val="00B67B21"/>
    <w:rsid w:val="00B72C72"/>
    <w:rsid w:val="00B73F6F"/>
    <w:rsid w:val="00B74655"/>
    <w:rsid w:val="00B747CF"/>
    <w:rsid w:val="00B76313"/>
    <w:rsid w:val="00B817CF"/>
    <w:rsid w:val="00B82373"/>
    <w:rsid w:val="00B8656A"/>
    <w:rsid w:val="00B96054"/>
    <w:rsid w:val="00BB0EE2"/>
    <w:rsid w:val="00BB2B07"/>
    <w:rsid w:val="00BC49DB"/>
    <w:rsid w:val="00BD085E"/>
    <w:rsid w:val="00BD12A6"/>
    <w:rsid w:val="00BD24B5"/>
    <w:rsid w:val="00BD5972"/>
    <w:rsid w:val="00BD75FE"/>
    <w:rsid w:val="00BE5A6A"/>
    <w:rsid w:val="00BF49AE"/>
    <w:rsid w:val="00C11082"/>
    <w:rsid w:val="00C118FA"/>
    <w:rsid w:val="00C12BE9"/>
    <w:rsid w:val="00C1493D"/>
    <w:rsid w:val="00C14ED8"/>
    <w:rsid w:val="00C217ED"/>
    <w:rsid w:val="00C277C8"/>
    <w:rsid w:val="00C330D6"/>
    <w:rsid w:val="00C349AC"/>
    <w:rsid w:val="00C36B7B"/>
    <w:rsid w:val="00C37C40"/>
    <w:rsid w:val="00C4694D"/>
    <w:rsid w:val="00C47A0A"/>
    <w:rsid w:val="00C54B79"/>
    <w:rsid w:val="00C55092"/>
    <w:rsid w:val="00C5666D"/>
    <w:rsid w:val="00C60133"/>
    <w:rsid w:val="00C67087"/>
    <w:rsid w:val="00C737EC"/>
    <w:rsid w:val="00C74C01"/>
    <w:rsid w:val="00C75002"/>
    <w:rsid w:val="00C76C44"/>
    <w:rsid w:val="00C77CF3"/>
    <w:rsid w:val="00C80E8B"/>
    <w:rsid w:val="00C93900"/>
    <w:rsid w:val="00C9606C"/>
    <w:rsid w:val="00C962E9"/>
    <w:rsid w:val="00CA00BF"/>
    <w:rsid w:val="00CA2392"/>
    <w:rsid w:val="00CA268A"/>
    <w:rsid w:val="00CA2E87"/>
    <w:rsid w:val="00CA2F7A"/>
    <w:rsid w:val="00CA306F"/>
    <w:rsid w:val="00CA5B38"/>
    <w:rsid w:val="00CA63D5"/>
    <w:rsid w:val="00CB0047"/>
    <w:rsid w:val="00CC2B59"/>
    <w:rsid w:val="00CC4175"/>
    <w:rsid w:val="00CC4A13"/>
    <w:rsid w:val="00CC6FEA"/>
    <w:rsid w:val="00CC708A"/>
    <w:rsid w:val="00CD5F90"/>
    <w:rsid w:val="00CE027C"/>
    <w:rsid w:val="00CE55CC"/>
    <w:rsid w:val="00CF1A17"/>
    <w:rsid w:val="00CF2CBB"/>
    <w:rsid w:val="00CF3365"/>
    <w:rsid w:val="00CF3480"/>
    <w:rsid w:val="00CF393D"/>
    <w:rsid w:val="00CF3F24"/>
    <w:rsid w:val="00D00C30"/>
    <w:rsid w:val="00D03603"/>
    <w:rsid w:val="00D14D30"/>
    <w:rsid w:val="00D1557C"/>
    <w:rsid w:val="00D164CD"/>
    <w:rsid w:val="00D3216A"/>
    <w:rsid w:val="00D3726A"/>
    <w:rsid w:val="00D41078"/>
    <w:rsid w:val="00D417E4"/>
    <w:rsid w:val="00D42BF6"/>
    <w:rsid w:val="00D45F22"/>
    <w:rsid w:val="00D4632B"/>
    <w:rsid w:val="00D5112F"/>
    <w:rsid w:val="00D51D06"/>
    <w:rsid w:val="00D57309"/>
    <w:rsid w:val="00D601C7"/>
    <w:rsid w:val="00D62C43"/>
    <w:rsid w:val="00D64F19"/>
    <w:rsid w:val="00D655CA"/>
    <w:rsid w:val="00D65C06"/>
    <w:rsid w:val="00D7166D"/>
    <w:rsid w:val="00D71E85"/>
    <w:rsid w:val="00D73397"/>
    <w:rsid w:val="00D73912"/>
    <w:rsid w:val="00D77DD9"/>
    <w:rsid w:val="00D830FD"/>
    <w:rsid w:val="00D8687F"/>
    <w:rsid w:val="00D921A4"/>
    <w:rsid w:val="00D92689"/>
    <w:rsid w:val="00D9338B"/>
    <w:rsid w:val="00D93FC2"/>
    <w:rsid w:val="00D97397"/>
    <w:rsid w:val="00D97DB9"/>
    <w:rsid w:val="00DA0817"/>
    <w:rsid w:val="00DA268C"/>
    <w:rsid w:val="00DA5741"/>
    <w:rsid w:val="00DA7F15"/>
    <w:rsid w:val="00DC6CE3"/>
    <w:rsid w:val="00DD314C"/>
    <w:rsid w:val="00DD3B4B"/>
    <w:rsid w:val="00DD4723"/>
    <w:rsid w:val="00DD694F"/>
    <w:rsid w:val="00DD7BF3"/>
    <w:rsid w:val="00DE3E6E"/>
    <w:rsid w:val="00DE6553"/>
    <w:rsid w:val="00DE78C6"/>
    <w:rsid w:val="00DF061E"/>
    <w:rsid w:val="00DF0823"/>
    <w:rsid w:val="00DF1E88"/>
    <w:rsid w:val="00DF272E"/>
    <w:rsid w:val="00DF4F2D"/>
    <w:rsid w:val="00DF79E1"/>
    <w:rsid w:val="00E00228"/>
    <w:rsid w:val="00E01648"/>
    <w:rsid w:val="00E06302"/>
    <w:rsid w:val="00E10B26"/>
    <w:rsid w:val="00E10E8F"/>
    <w:rsid w:val="00E142C1"/>
    <w:rsid w:val="00E165A0"/>
    <w:rsid w:val="00E17A34"/>
    <w:rsid w:val="00E2101C"/>
    <w:rsid w:val="00E2435B"/>
    <w:rsid w:val="00E37D43"/>
    <w:rsid w:val="00E43101"/>
    <w:rsid w:val="00E60EFE"/>
    <w:rsid w:val="00E625A4"/>
    <w:rsid w:val="00E64F61"/>
    <w:rsid w:val="00E665B5"/>
    <w:rsid w:val="00E72559"/>
    <w:rsid w:val="00E811DE"/>
    <w:rsid w:val="00E8128F"/>
    <w:rsid w:val="00E815E4"/>
    <w:rsid w:val="00E87327"/>
    <w:rsid w:val="00E915BD"/>
    <w:rsid w:val="00E95D15"/>
    <w:rsid w:val="00E97255"/>
    <w:rsid w:val="00EA6896"/>
    <w:rsid w:val="00EB0A0B"/>
    <w:rsid w:val="00EB5E67"/>
    <w:rsid w:val="00EC0DEB"/>
    <w:rsid w:val="00EC1383"/>
    <w:rsid w:val="00EC44B5"/>
    <w:rsid w:val="00ED090A"/>
    <w:rsid w:val="00ED31B6"/>
    <w:rsid w:val="00EE13C5"/>
    <w:rsid w:val="00EE5011"/>
    <w:rsid w:val="00EE7F91"/>
    <w:rsid w:val="00EF05D5"/>
    <w:rsid w:val="00F04D92"/>
    <w:rsid w:val="00F051B1"/>
    <w:rsid w:val="00F05D11"/>
    <w:rsid w:val="00F05DFB"/>
    <w:rsid w:val="00F10072"/>
    <w:rsid w:val="00F119F0"/>
    <w:rsid w:val="00F12CBF"/>
    <w:rsid w:val="00F13295"/>
    <w:rsid w:val="00F13EB6"/>
    <w:rsid w:val="00F16A1A"/>
    <w:rsid w:val="00F225BB"/>
    <w:rsid w:val="00F23366"/>
    <w:rsid w:val="00F244D6"/>
    <w:rsid w:val="00F27998"/>
    <w:rsid w:val="00F43A1D"/>
    <w:rsid w:val="00F5101A"/>
    <w:rsid w:val="00F55968"/>
    <w:rsid w:val="00F572F5"/>
    <w:rsid w:val="00F579E6"/>
    <w:rsid w:val="00F625D1"/>
    <w:rsid w:val="00F647E7"/>
    <w:rsid w:val="00F661F4"/>
    <w:rsid w:val="00F70DBD"/>
    <w:rsid w:val="00F75D04"/>
    <w:rsid w:val="00F8259E"/>
    <w:rsid w:val="00F833AD"/>
    <w:rsid w:val="00F84A35"/>
    <w:rsid w:val="00F870B2"/>
    <w:rsid w:val="00F9051D"/>
    <w:rsid w:val="00F9386D"/>
    <w:rsid w:val="00F94C53"/>
    <w:rsid w:val="00FA1926"/>
    <w:rsid w:val="00FA1B3E"/>
    <w:rsid w:val="00FA2E9B"/>
    <w:rsid w:val="00FA2F96"/>
    <w:rsid w:val="00FA5FCA"/>
    <w:rsid w:val="00FB1F7D"/>
    <w:rsid w:val="00FB2FB6"/>
    <w:rsid w:val="00FB514A"/>
    <w:rsid w:val="00FB6F20"/>
    <w:rsid w:val="00FC1E17"/>
    <w:rsid w:val="00FC2026"/>
    <w:rsid w:val="00FC2755"/>
    <w:rsid w:val="00FC36E5"/>
    <w:rsid w:val="00FC38BB"/>
    <w:rsid w:val="00FC3F8D"/>
    <w:rsid w:val="00FC4797"/>
    <w:rsid w:val="00FC5621"/>
    <w:rsid w:val="00FC663A"/>
    <w:rsid w:val="00FC7223"/>
    <w:rsid w:val="00FD1CC3"/>
    <w:rsid w:val="00FD2538"/>
    <w:rsid w:val="00FD3DE4"/>
    <w:rsid w:val="00FD4494"/>
    <w:rsid w:val="00FD4BE2"/>
    <w:rsid w:val="00FE335E"/>
    <w:rsid w:val="00FE39B1"/>
    <w:rsid w:val="00FF2477"/>
    <w:rsid w:val="00FF3614"/>
    <w:rsid w:val="00FF48CF"/>
    <w:rsid w:val="00FF5199"/>
    <w:rsid w:val="00FF77BA"/>
    <w:rsid w:val="011FC084"/>
    <w:rsid w:val="01623FF4"/>
    <w:rsid w:val="01C1F336"/>
    <w:rsid w:val="01F7AC01"/>
    <w:rsid w:val="0281D57C"/>
    <w:rsid w:val="035B042C"/>
    <w:rsid w:val="03C2F33F"/>
    <w:rsid w:val="0411A23E"/>
    <w:rsid w:val="0417647D"/>
    <w:rsid w:val="0455B78B"/>
    <w:rsid w:val="0499E0B6"/>
    <w:rsid w:val="04D0FA48"/>
    <w:rsid w:val="04DF13B9"/>
    <w:rsid w:val="04F3469A"/>
    <w:rsid w:val="04F50754"/>
    <w:rsid w:val="056F3F9D"/>
    <w:rsid w:val="05A766F9"/>
    <w:rsid w:val="0612EBEB"/>
    <w:rsid w:val="0620A886"/>
    <w:rsid w:val="0652C9BA"/>
    <w:rsid w:val="06891450"/>
    <w:rsid w:val="06B97C4D"/>
    <w:rsid w:val="06F10F4C"/>
    <w:rsid w:val="070E1A7C"/>
    <w:rsid w:val="07821D04"/>
    <w:rsid w:val="07EB61E6"/>
    <w:rsid w:val="0816B47B"/>
    <w:rsid w:val="085E0382"/>
    <w:rsid w:val="08817096"/>
    <w:rsid w:val="088CDFAD"/>
    <w:rsid w:val="08A897EF"/>
    <w:rsid w:val="08C7A5C6"/>
    <w:rsid w:val="091D2E36"/>
    <w:rsid w:val="0958E985"/>
    <w:rsid w:val="09763EF9"/>
    <w:rsid w:val="09777943"/>
    <w:rsid w:val="09E3340C"/>
    <w:rsid w:val="0A2768DD"/>
    <w:rsid w:val="0A52CD16"/>
    <w:rsid w:val="0A9AC73E"/>
    <w:rsid w:val="0ACD4B3C"/>
    <w:rsid w:val="0BC4806F"/>
    <w:rsid w:val="0BD92900"/>
    <w:rsid w:val="0C15AC5E"/>
    <w:rsid w:val="0D2CEB8E"/>
    <w:rsid w:val="0D3A0633"/>
    <w:rsid w:val="0D5BA323"/>
    <w:rsid w:val="0D6645A1"/>
    <w:rsid w:val="0D9E6B7A"/>
    <w:rsid w:val="0E5369C2"/>
    <w:rsid w:val="0E800801"/>
    <w:rsid w:val="0F717833"/>
    <w:rsid w:val="0F868CDF"/>
    <w:rsid w:val="10AD3BFF"/>
    <w:rsid w:val="10B98F4E"/>
    <w:rsid w:val="113711F3"/>
    <w:rsid w:val="116348B2"/>
    <w:rsid w:val="11BB4415"/>
    <w:rsid w:val="11BD96C1"/>
    <w:rsid w:val="12263AF2"/>
    <w:rsid w:val="12513DD9"/>
    <w:rsid w:val="127B2F0C"/>
    <w:rsid w:val="1284A296"/>
    <w:rsid w:val="12A46F33"/>
    <w:rsid w:val="12A901BF"/>
    <w:rsid w:val="12FD994C"/>
    <w:rsid w:val="132074B7"/>
    <w:rsid w:val="13250D00"/>
    <w:rsid w:val="135C8E0D"/>
    <w:rsid w:val="13D24808"/>
    <w:rsid w:val="13EECEB5"/>
    <w:rsid w:val="14442B9F"/>
    <w:rsid w:val="145ABACD"/>
    <w:rsid w:val="145F10FD"/>
    <w:rsid w:val="14634098"/>
    <w:rsid w:val="148EEF98"/>
    <w:rsid w:val="14B99655"/>
    <w:rsid w:val="159664CF"/>
    <w:rsid w:val="15D390BF"/>
    <w:rsid w:val="1612C4BD"/>
    <w:rsid w:val="16209365"/>
    <w:rsid w:val="1622290D"/>
    <w:rsid w:val="1649452B"/>
    <w:rsid w:val="168F2C33"/>
    <w:rsid w:val="16A37D2D"/>
    <w:rsid w:val="1712EED8"/>
    <w:rsid w:val="173572F5"/>
    <w:rsid w:val="173990BE"/>
    <w:rsid w:val="174CA36A"/>
    <w:rsid w:val="179DA857"/>
    <w:rsid w:val="17F3FEC9"/>
    <w:rsid w:val="18962B2B"/>
    <w:rsid w:val="18C9E290"/>
    <w:rsid w:val="19551AD6"/>
    <w:rsid w:val="19B4AC4A"/>
    <w:rsid w:val="1A282509"/>
    <w:rsid w:val="1B22C886"/>
    <w:rsid w:val="1B9AC4D5"/>
    <w:rsid w:val="1BBBCD89"/>
    <w:rsid w:val="1BC8BC76"/>
    <w:rsid w:val="1C161A56"/>
    <w:rsid w:val="1C573CCA"/>
    <w:rsid w:val="1C650528"/>
    <w:rsid w:val="1C689389"/>
    <w:rsid w:val="1C700A4F"/>
    <w:rsid w:val="1D016DC3"/>
    <w:rsid w:val="1D0A1391"/>
    <w:rsid w:val="1D9EF4B5"/>
    <w:rsid w:val="1DFAE0E8"/>
    <w:rsid w:val="1E0601F2"/>
    <w:rsid w:val="1E34AD2C"/>
    <w:rsid w:val="1E6EE90A"/>
    <w:rsid w:val="1E72222E"/>
    <w:rsid w:val="1EBFCCA3"/>
    <w:rsid w:val="1F2C887F"/>
    <w:rsid w:val="1F71D2F5"/>
    <w:rsid w:val="1F77CB22"/>
    <w:rsid w:val="1F7874FF"/>
    <w:rsid w:val="1FC0492E"/>
    <w:rsid w:val="2007A511"/>
    <w:rsid w:val="2009AB7E"/>
    <w:rsid w:val="201EC1CD"/>
    <w:rsid w:val="20367330"/>
    <w:rsid w:val="2037D62F"/>
    <w:rsid w:val="20B12233"/>
    <w:rsid w:val="212E168F"/>
    <w:rsid w:val="215B76F5"/>
    <w:rsid w:val="21A73DDE"/>
    <w:rsid w:val="21B4B7F9"/>
    <w:rsid w:val="21C37065"/>
    <w:rsid w:val="22081D63"/>
    <w:rsid w:val="2212B74F"/>
    <w:rsid w:val="227CD024"/>
    <w:rsid w:val="234C02B1"/>
    <w:rsid w:val="237B0C42"/>
    <w:rsid w:val="23BC5A18"/>
    <w:rsid w:val="23E7B75F"/>
    <w:rsid w:val="23F05787"/>
    <w:rsid w:val="24019050"/>
    <w:rsid w:val="245A5E72"/>
    <w:rsid w:val="24BF2FA5"/>
    <w:rsid w:val="24C9AF17"/>
    <w:rsid w:val="250D48B0"/>
    <w:rsid w:val="25D05BE2"/>
    <w:rsid w:val="2619E1C2"/>
    <w:rsid w:val="265CE807"/>
    <w:rsid w:val="2685B7E7"/>
    <w:rsid w:val="26C56D53"/>
    <w:rsid w:val="2763C63A"/>
    <w:rsid w:val="27D5BF28"/>
    <w:rsid w:val="2851DA51"/>
    <w:rsid w:val="28B40D53"/>
    <w:rsid w:val="294C057B"/>
    <w:rsid w:val="2972ACDE"/>
    <w:rsid w:val="29A5142A"/>
    <w:rsid w:val="29BC3304"/>
    <w:rsid w:val="29ECD700"/>
    <w:rsid w:val="2A52AE6C"/>
    <w:rsid w:val="2A5617EE"/>
    <w:rsid w:val="2A743403"/>
    <w:rsid w:val="2A83ADD1"/>
    <w:rsid w:val="2ABCA611"/>
    <w:rsid w:val="2AC43F78"/>
    <w:rsid w:val="2ADCD7E2"/>
    <w:rsid w:val="2B76F914"/>
    <w:rsid w:val="2BA4A14C"/>
    <w:rsid w:val="2C1E9C93"/>
    <w:rsid w:val="2C9A51E3"/>
    <w:rsid w:val="2D025A95"/>
    <w:rsid w:val="2D638D4C"/>
    <w:rsid w:val="2DB4FD27"/>
    <w:rsid w:val="2DC9F2D3"/>
    <w:rsid w:val="2DECB426"/>
    <w:rsid w:val="2EE6D052"/>
    <w:rsid w:val="2F8066EF"/>
    <w:rsid w:val="2F98AB50"/>
    <w:rsid w:val="2F9A98E0"/>
    <w:rsid w:val="2FE327CD"/>
    <w:rsid w:val="3053146A"/>
    <w:rsid w:val="31A03436"/>
    <w:rsid w:val="325798C3"/>
    <w:rsid w:val="3301B01B"/>
    <w:rsid w:val="33B7572C"/>
    <w:rsid w:val="33D93B5D"/>
    <w:rsid w:val="34169C79"/>
    <w:rsid w:val="34503059"/>
    <w:rsid w:val="34511663"/>
    <w:rsid w:val="34FAD4A3"/>
    <w:rsid w:val="350D7BF1"/>
    <w:rsid w:val="3517C65C"/>
    <w:rsid w:val="35DC2CE2"/>
    <w:rsid w:val="36452F1A"/>
    <w:rsid w:val="36A39CA3"/>
    <w:rsid w:val="36EE1188"/>
    <w:rsid w:val="36FCFD06"/>
    <w:rsid w:val="374B61F8"/>
    <w:rsid w:val="37934990"/>
    <w:rsid w:val="37D4F2CC"/>
    <w:rsid w:val="37D9814C"/>
    <w:rsid w:val="381602C6"/>
    <w:rsid w:val="3819337D"/>
    <w:rsid w:val="382E2E40"/>
    <w:rsid w:val="385E15E0"/>
    <w:rsid w:val="39211494"/>
    <w:rsid w:val="3935BEC3"/>
    <w:rsid w:val="39518EFC"/>
    <w:rsid w:val="39812866"/>
    <w:rsid w:val="39912DB0"/>
    <w:rsid w:val="3999BB6E"/>
    <w:rsid w:val="39E32FF7"/>
    <w:rsid w:val="39E54477"/>
    <w:rsid w:val="39F9D31F"/>
    <w:rsid w:val="3A008422"/>
    <w:rsid w:val="3ABE4FF9"/>
    <w:rsid w:val="3AC7B0B4"/>
    <w:rsid w:val="3AD77856"/>
    <w:rsid w:val="3AE182B5"/>
    <w:rsid w:val="3B415FF8"/>
    <w:rsid w:val="3B42D6BE"/>
    <w:rsid w:val="3B4DA388"/>
    <w:rsid w:val="3B64F263"/>
    <w:rsid w:val="3C1572C6"/>
    <w:rsid w:val="3C7348B7"/>
    <w:rsid w:val="3C995005"/>
    <w:rsid w:val="3CCCDCCD"/>
    <w:rsid w:val="3DEA850A"/>
    <w:rsid w:val="3DF0B497"/>
    <w:rsid w:val="3E0989C6"/>
    <w:rsid w:val="3E0F1918"/>
    <w:rsid w:val="3E85444A"/>
    <w:rsid w:val="3ED0079E"/>
    <w:rsid w:val="3FCA860B"/>
    <w:rsid w:val="4030F8D6"/>
    <w:rsid w:val="406DD695"/>
    <w:rsid w:val="40BE3FD4"/>
    <w:rsid w:val="4118BB75"/>
    <w:rsid w:val="41D433E7"/>
    <w:rsid w:val="41EBBCA7"/>
    <w:rsid w:val="42B4AD45"/>
    <w:rsid w:val="42B6876F"/>
    <w:rsid w:val="4327C3EA"/>
    <w:rsid w:val="43795CD2"/>
    <w:rsid w:val="43B4FAFF"/>
    <w:rsid w:val="4408B061"/>
    <w:rsid w:val="447815F6"/>
    <w:rsid w:val="45239FBB"/>
    <w:rsid w:val="4539F675"/>
    <w:rsid w:val="4566EE98"/>
    <w:rsid w:val="4597FD77"/>
    <w:rsid w:val="45FBD601"/>
    <w:rsid w:val="46091C34"/>
    <w:rsid w:val="463B1D76"/>
    <w:rsid w:val="463F9AD3"/>
    <w:rsid w:val="46E48E7D"/>
    <w:rsid w:val="47C18455"/>
    <w:rsid w:val="47F7E812"/>
    <w:rsid w:val="482659DA"/>
    <w:rsid w:val="48AB9C9E"/>
    <w:rsid w:val="48C56BAA"/>
    <w:rsid w:val="497ACB16"/>
    <w:rsid w:val="497B005D"/>
    <w:rsid w:val="49C9DF4E"/>
    <w:rsid w:val="49D762FC"/>
    <w:rsid w:val="4A55B1C1"/>
    <w:rsid w:val="4A6FD801"/>
    <w:rsid w:val="4AD50573"/>
    <w:rsid w:val="4B2852BC"/>
    <w:rsid w:val="4B319128"/>
    <w:rsid w:val="4B8F92C5"/>
    <w:rsid w:val="4C1766A4"/>
    <w:rsid w:val="4C2B965D"/>
    <w:rsid w:val="4C90397F"/>
    <w:rsid w:val="4CC348F4"/>
    <w:rsid w:val="4CC7878C"/>
    <w:rsid w:val="4CD387AC"/>
    <w:rsid w:val="4CD6E637"/>
    <w:rsid w:val="4D13932E"/>
    <w:rsid w:val="4DD00173"/>
    <w:rsid w:val="4E3EB055"/>
    <w:rsid w:val="4E58DB3E"/>
    <w:rsid w:val="4E907D55"/>
    <w:rsid w:val="4EA17C18"/>
    <w:rsid w:val="4EAC2806"/>
    <w:rsid w:val="4EBAA475"/>
    <w:rsid w:val="4EF8EDE0"/>
    <w:rsid w:val="4F1B180D"/>
    <w:rsid w:val="4F7B4395"/>
    <w:rsid w:val="4F95BA68"/>
    <w:rsid w:val="4FB52F8D"/>
    <w:rsid w:val="4FD2ED97"/>
    <w:rsid w:val="5013A308"/>
    <w:rsid w:val="5044C92F"/>
    <w:rsid w:val="5045CE0E"/>
    <w:rsid w:val="505EAB77"/>
    <w:rsid w:val="5074B3BB"/>
    <w:rsid w:val="507BB7A3"/>
    <w:rsid w:val="50827F7C"/>
    <w:rsid w:val="50863E22"/>
    <w:rsid w:val="50957740"/>
    <w:rsid w:val="50BD428A"/>
    <w:rsid w:val="5107E941"/>
    <w:rsid w:val="512BBDEF"/>
    <w:rsid w:val="5143B547"/>
    <w:rsid w:val="51A5FCB0"/>
    <w:rsid w:val="51C13DDE"/>
    <w:rsid w:val="521E4FDD"/>
    <w:rsid w:val="525D97B5"/>
    <w:rsid w:val="5284E246"/>
    <w:rsid w:val="52A2D6A2"/>
    <w:rsid w:val="52B90E23"/>
    <w:rsid w:val="52EEC279"/>
    <w:rsid w:val="531B7384"/>
    <w:rsid w:val="53267E0A"/>
    <w:rsid w:val="536F506D"/>
    <w:rsid w:val="54556792"/>
    <w:rsid w:val="5548625E"/>
    <w:rsid w:val="55DA7764"/>
    <w:rsid w:val="55FB800C"/>
    <w:rsid w:val="5634F197"/>
    <w:rsid w:val="56746CDC"/>
    <w:rsid w:val="56B12910"/>
    <w:rsid w:val="56ED8698"/>
    <w:rsid w:val="57450DA4"/>
    <w:rsid w:val="5745F4C0"/>
    <w:rsid w:val="5772F661"/>
    <w:rsid w:val="577647C5"/>
    <w:rsid w:val="578DE107"/>
    <w:rsid w:val="57B31187"/>
    <w:rsid w:val="57DF89DE"/>
    <w:rsid w:val="58504BE4"/>
    <w:rsid w:val="58790F7B"/>
    <w:rsid w:val="588D9161"/>
    <w:rsid w:val="58DBBBA7"/>
    <w:rsid w:val="5927F69A"/>
    <w:rsid w:val="5933BE41"/>
    <w:rsid w:val="5A4E3670"/>
    <w:rsid w:val="5A9B46B8"/>
    <w:rsid w:val="5ADFEFBF"/>
    <w:rsid w:val="5B4BC745"/>
    <w:rsid w:val="5B9AED91"/>
    <w:rsid w:val="5BB12311"/>
    <w:rsid w:val="5BD72155"/>
    <w:rsid w:val="5D35EDEE"/>
    <w:rsid w:val="5D610284"/>
    <w:rsid w:val="5D6E85B1"/>
    <w:rsid w:val="5D7A2AE1"/>
    <w:rsid w:val="5DF66A17"/>
    <w:rsid w:val="5E0AD7C7"/>
    <w:rsid w:val="5E2E413B"/>
    <w:rsid w:val="5E5E6CB5"/>
    <w:rsid w:val="5E92B724"/>
    <w:rsid w:val="5E9BCDC7"/>
    <w:rsid w:val="5EB17D3A"/>
    <w:rsid w:val="5EEA3BAE"/>
    <w:rsid w:val="5F923A78"/>
    <w:rsid w:val="6008EE24"/>
    <w:rsid w:val="601C7EA0"/>
    <w:rsid w:val="609BFD58"/>
    <w:rsid w:val="611AD44D"/>
    <w:rsid w:val="61DE05CD"/>
    <w:rsid w:val="61E345D2"/>
    <w:rsid w:val="621DE782"/>
    <w:rsid w:val="625E55FC"/>
    <w:rsid w:val="63688112"/>
    <w:rsid w:val="63B236F3"/>
    <w:rsid w:val="63B2D1A9"/>
    <w:rsid w:val="63D631E5"/>
    <w:rsid w:val="63D8318E"/>
    <w:rsid w:val="645C8588"/>
    <w:rsid w:val="6470F69B"/>
    <w:rsid w:val="649872DD"/>
    <w:rsid w:val="64BF026C"/>
    <w:rsid w:val="656894B9"/>
    <w:rsid w:val="6569521F"/>
    <w:rsid w:val="656C1469"/>
    <w:rsid w:val="6656F853"/>
    <w:rsid w:val="66C7E843"/>
    <w:rsid w:val="66FB14EF"/>
    <w:rsid w:val="671B5A59"/>
    <w:rsid w:val="672F4DD9"/>
    <w:rsid w:val="6755281E"/>
    <w:rsid w:val="67A00CF7"/>
    <w:rsid w:val="67A4EDD2"/>
    <w:rsid w:val="6805AF8E"/>
    <w:rsid w:val="68A7EE51"/>
    <w:rsid w:val="68BDA209"/>
    <w:rsid w:val="68C5EFBA"/>
    <w:rsid w:val="68E8A652"/>
    <w:rsid w:val="69391CBE"/>
    <w:rsid w:val="69676A08"/>
    <w:rsid w:val="69B11D15"/>
    <w:rsid w:val="6AD4ED1F"/>
    <w:rsid w:val="6AD7C718"/>
    <w:rsid w:val="6B7BA225"/>
    <w:rsid w:val="6C2F4087"/>
    <w:rsid w:val="6C38E1FE"/>
    <w:rsid w:val="6C4EFCCD"/>
    <w:rsid w:val="6CD2089A"/>
    <w:rsid w:val="6EB0729A"/>
    <w:rsid w:val="6EE8B345"/>
    <w:rsid w:val="6F172290"/>
    <w:rsid w:val="6F25386F"/>
    <w:rsid w:val="6F2C2E5C"/>
    <w:rsid w:val="6F331B79"/>
    <w:rsid w:val="6F7F44E5"/>
    <w:rsid w:val="6FB7A70B"/>
    <w:rsid w:val="7067070D"/>
    <w:rsid w:val="707BB06E"/>
    <w:rsid w:val="70B6B496"/>
    <w:rsid w:val="716086E1"/>
    <w:rsid w:val="71B3D444"/>
    <w:rsid w:val="71DA31CA"/>
    <w:rsid w:val="71DCA13F"/>
    <w:rsid w:val="71F7A03C"/>
    <w:rsid w:val="7226A25A"/>
    <w:rsid w:val="72C9C120"/>
    <w:rsid w:val="7393709D"/>
    <w:rsid w:val="73A768B5"/>
    <w:rsid w:val="73DD7472"/>
    <w:rsid w:val="73F1731A"/>
    <w:rsid w:val="74223D7E"/>
    <w:rsid w:val="7492D6DC"/>
    <w:rsid w:val="749F8339"/>
    <w:rsid w:val="753D09A6"/>
    <w:rsid w:val="756179EA"/>
    <w:rsid w:val="756C80D6"/>
    <w:rsid w:val="7583C6FD"/>
    <w:rsid w:val="75B1C666"/>
    <w:rsid w:val="75C62D3B"/>
    <w:rsid w:val="76179FC6"/>
    <w:rsid w:val="76DA2369"/>
    <w:rsid w:val="776F4702"/>
    <w:rsid w:val="777225FF"/>
    <w:rsid w:val="77902A0E"/>
    <w:rsid w:val="77A5CF4B"/>
    <w:rsid w:val="77BB5DAD"/>
    <w:rsid w:val="77C579BD"/>
    <w:rsid w:val="77D5A967"/>
    <w:rsid w:val="782043D7"/>
    <w:rsid w:val="7888E901"/>
    <w:rsid w:val="78AD2AA4"/>
    <w:rsid w:val="78F024C3"/>
    <w:rsid w:val="7937F1AD"/>
    <w:rsid w:val="7A54E20A"/>
    <w:rsid w:val="7AB7E6BB"/>
    <w:rsid w:val="7AF4D63C"/>
    <w:rsid w:val="7B037373"/>
    <w:rsid w:val="7B46931C"/>
    <w:rsid w:val="7B57E499"/>
    <w:rsid w:val="7C2A1DBF"/>
    <w:rsid w:val="7C42CD97"/>
    <w:rsid w:val="7C946E76"/>
    <w:rsid w:val="7CFDFA98"/>
    <w:rsid w:val="7F100EE6"/>
    <w:rsid w:val="7F16749E"/>
    <w:rsid w:val="7F1E354D"/>
    <w:rsid w:val="7F64A494"/>
    <w:rsid w:val="7F7AA029"/>
    <w:rsid w:val="7F8B19CE"/>
    <w:rsid w:val="7FC0C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BD78"/>
  <w15:chartTrackingRefBased/>
  <w15:docId w15:val="{2933851F-BAD7-4203-BDD3-CF8D14CA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324E1"/>
    <w:pPr>
      <w:spacing w:after="200"/>
    </w:pPr>
    <w:rPr>
      <w:rFonts w:ascii="Arial" w:eastAsiaTheme="minorEastAsia" w:hAnsi="Arial" w:cs="Times New Roman"/>
      <w:b/>
      <w:bCs/>
      <w:i/>
      <w:iCs/>
      <w:color w:val="44546A" w:themeColor="text2"/>
      <w:kern w:val="0"/>
      <w:sz w:val="18"/>
      <w:szCs w:val="18"/>
      <w:lang w:eastAsia="ja-JP"/>
      <w14:ligatures w14:val="none"/>
    </w:rPr>
  </w:style>
  <w:style w:type="table" w:styleId="TableGrid">
    <w:name w:val="Table Grid"/>
    <w:basedOn w:val="TableNormal"/>
    <w:uiPriority w:val="39"/>
    <w:rsid w:val="001E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B0A0B"/>
    <w:rPr>
      <w:rFonts w:ascii="Tw Cen MT" w:eastAsia="Times New Roman" w:hAnsi="Tw Cen MT"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EB0A0B"/>
    <w:rPr>
      <w:rFonts w:ascii="Tw Cen MT" w:eastAsia="Times New Roman" w:hAnsi="Tw Cen MT" w:cs="Times New Roman"/>
      <w:kern w:val="0"/>
      <w:sz w:val="20"/>
      <w:szCs w:val="20"/>
      <w:lang w:eastAsia="en-GB"/>
      <w14:ligatures w14:val="none"/>
    </w:rPr>
  </w:style>
  <w:style w:type="table" w:customStyle="1" w:styleId="ListTable4-Accent51">
    <w:name w:val="List Table 4 - Accent 51"/>
    <w:basedOn w:val="TableNormal"/>
    <w:uiPriority w:val="49"/>
    <w:rsid w:val="00EB0A0B"/>
    <w:rPr>
      <w:rFonts w:ascii="Trebuchet MS" w:eastAsia="SimSun" w:hAnsi="Trebuchet MS"/>
      <w:kern w:val="0"/>
      <w:sz w:val="22"/>
      <w:szCs w:val="22"/>
      <w:lang w:val="pt-BR"/>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003A62"/>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CBCED3"/>
      </w:tcPr>
    </w:tblStylePr>
    <w:tblStylePr w:type="band2Horz">
      <w:tblPr/>
      <w:tcPr>
        <w:shd w:val="clear" w:color="auto" w:fill="E7E8EA"/>
      </w:tcPr>
    </w:tblStylePr>
  </w:style>
  <w:style w:type="character" w:styleId="FootnoteReference">
    <w:name w:val="footnote reference"/>
    <w:basedOn w:val="DefaultParagraphFont"/>
    <w:uiPriority w:val="99"/>
    <w:semiHidden/>
    <w:unhideWhenUsed/>
    <w:rsid w:val="00EB0A0B"/>
    <w:rPr>
      <w:vertAlign w:val="superscript"/>
    </w:rPr>
  </w:style>
  <w:style w:type="paragraph" w:styleId="ListParagraph">
    <w:name w:val="List Paragraph"/>
    <w:aliases w:val="Yellow Bullet,Normal bullet 2,Paragraph,Titre1,Number Bullets,Bullets,List Paragraph (numbered (a)),Liste 1,Numbered List Paragraph,References,ReferencesCxSpLast,List Paragraph1,Medium Grid 1 - Accent 21,List Paragraph nowy,heading 6,l,Ha"/>
    <w:basedOn w:val="Normal"/>
    <w:link w:val="ListParagraphChar"/>
    <w:uiPriority w:val="34"/>
    <w:qFormat/>
    <w:rsid w:val="001F33AF"/>
    <w:pPr>
      <w:spacing w:after="120"/>
      <w:ind w:left="720"/>
      <w:contextualSpacing/>
    </w:pPr>
    <w:rPr>
      <w:rFonts w:ascii="Tw Cen MT" w:hAnsi="Tw Cen MT"/>
    </w:rPr>
  </w:style>
  <w:style w:type="character" w:customStyle="1" w:styleId="ListParagraphChar">
    <w:name w:val="List Paragraph Char"/>
    <w:aliases w:val="Yellow Bullet Char,Normal bullet 2 Char,Paragraph Char,Titre1 Char,Number Bullets Char,Bullets Char,List Paragraph (numbered (a)) Char,Liste 1 Char,Numbered List Paragraph Char,References Char,ReferencesCxSpLast Char,heading 6 Char"/>
    <w:basedOn w:val="DefaultParagraphFont"/>
    <w:link w:val="ListParagraph"/>
    <w:uiPriority w:val="34"/>
    <w:qFormat/>
    <w:rsid w:val="001F33AF"/>
    <w:rPr>
      <w:rFonts w:ascii="Tw Cen MT" w:hAnsi="Tw Cen MT"/>
    </w:rPr>
  </w:style>
  <w:style w:type="paragraph" w:styleId="Revision">
    <w:name w:val="Revision"/>
    <w:hidden/>
    <w:uiPriority w:val="99"/>
    <w:semiHidden/>
    <w:rsid w:val="00DD694F"/>
  </w:style>
  <w:style w:type="character" w:styleId="CommentReference">
    <w:name w:val="annotation reference"/>
    <w:basedOn w:val="DefaultParagraphFont"/>
    <w:uiPriority w:val="99"/>
    <w:semiHidden/>
    <w:unhideWhenUsed/>
    <w:rsid w:val="00116AEA"/>
    <w:rPr>
      <w:sz w:val="16"/>
      <w:szCs w:val="16"/>
    </w:rPr>
  </w:style>
  <w:style w:type="paragraph" w:styleId="CommentText">
    <w:name w:val="annotation text"/>
    <w:basedOn w:val="Normal"/>
    <w:link w:val="CommentTextChar"/>
    <w:uiPriority w:val="99"/>
    <w:unhideWhenUsed/>
    <w:rsid w:val="00116AEA"/>
    <w:rPr>
      <w:sz w:val="20"/>
      <w:szCs w:val="20"/>
    </w:rPr>
  </w:style>
  <w:style w:type="character" w:customStyle="1" w:styleId="CommentTextChar">
    <w:name w:val="Comment Text Char"/>
    <w:basedOn w:val="DefaultParagraphFont"/>
    <w:link w:val="CommentText"/>
    <w:uiPriority w:val="99"/>
    <w:rsid w:val="00116AEA"/>
    <w:rPr>
      <w:sz w:val="20"/>
      <w:szCs w:val="20"/>
    </w:rPr>
  </w:style>
  <w:style w:type="paragraph" w:styleId="CommentSubject">
    <w:name w:val="annotation subject"/>
    <w:basedOn w:val="CommentText"/>
    <w:next w:val="CommentText"/>
    <w:link w:val="CommentSubjectChar"/>
    <w:uiPriority w:val="99"/>
    <w:semiHidden/>
    <w:unhideWhenUsed/>
    <w:rsid w:val="00116AEA"/>
    <w:rPr>
      <w:b/>
      <w:bCs/>
    </w:rPr>
  </w:style>
  <w:style w:type="character" w:customStyle="1" w:styleId="CommentSubjectChar">
    <w:name w:val="Comment Subject Char"/>
    <w:basedOn w:val="CommentTextChar"/>
    <w:link w:val="CommentSubject"/>
    <w:uiPriority w:val="99"/>
    <w:semiHidden/>
    <w:rsid w:val="00116AEA"/>
    <w:rPr>
      <w:b/>
      <w:bCs/>
      <w:sz w:val="20"/>
      <w:szCs w:val="20"/>
    </w:rPr>
  </w:style>
  <w:style w:type="character" w:styleId="Mention">
    <w:name w:val="Mention"/>
    <w:basedOn w:val="DefaultParagraphFont"/>
    <w:uiPriority w:val="99"/>
    <w:unhideWhenUsed/>
    <w:rsid w:val="00116AEA"/>
    <w:rPr>
      <w:color w:val="2B579A"/>
      <w:shd w:val="clear" w:color="auto" w:fill="E1DFDD"/>
    </w:rPr>
  </w:style>
  <w:style w:type="paragraph" w:customStyle="1" w:styleId="CZcontractbodytext">
    <w:name w:val="CZ contract body text"/>
    <w:basedOn w:val="Normal"/>
    <w:rsid w:val="00683FD9"/>
    <w:pPr>
      <w:spacing w:before="120"/>
      <w:jc w:val="both"/>
    </w:pPr>
    <w:rPr>
      <w:rFonts w:ascii="Verdana" w:eastAsia="Times" w:hAnsi="Verdana" w:cs="Times New Roman"/>
      <w:noProof/>
      <w:kern w:val="0"/>
      <w:sz w:val="18"/>
      <w:lang w:val="cs-CZ"/>
      <w14:ligatures w14:val="none"/>
    </w:rPr>
  </w:style>
  <w:style w:type="paragraph" w:styleId="Header">
    <w:name w:val="header"/>
    <w:basedOn w:val="Normal"/>
    <w:link w:val="HeaderChar"/>
    <w:uiPriority w:val="99"/>
    <w:unhideWhenUsed/>
    <w:rsid w:val="008E7B89"/>
    <w:pPr>
      <w:tabs>
        <w:tab w:val="center" w:pos="4680"/>
        <w:tab w:val="right" w:pos="9360"/>
      </w:tabs>
    </w:pPr>
  </w:style>
  <w:style w:type="character" w:customStyle="1" w:styleId="HeaderChar">
    <w:name w:val="Header Char"/>
    <w:basedOn w:val="DefaultParagraphFont"/>
    <w:link w:val="Header"/>
    <w:uiPriority w:val="99"/>
    <w:rsid w:val="008E7B89"/>
  </w:style>
  <w:style w:type="paragraph" w:styleId="Footer">
    <w:name w:val="footer"/>
    <w:basedOn w:val="Normal"/>
    <w:link w:val="FooterChar"/>
    <w:uiPriority w:val="99"/>
    <w:unhideWhenUsed/>
    <w:rsid w:val="008E7B89"/>
    <w:pPr>
      <w:tabs>
        <w:tab w:val="center" w:pos="4680"/>
        <w:tab w:val="right" w:pos="9360"/>
      </w:tabs>
    </w:pPr>
  </w:style>
  <w:style w:type="character" w:customStyle="1" w:styleId="FooterChar">
    <w:name w:val="Footer Char"/>
    <w:basedOn w:val="DefaultParagraphFont"/>
    <w:link w:val="Footer"/>
    <w:uiPriority w:val="99"/>
    <w:rsid w:val="008E7B89"/>
  </w:style>
  <w:style w:type="paragraph" w:customStyle="1" w:styleId="paragraph">
    <w:name w:val="paragraph"/>
    <w:basedOn w:val="Normal"/>
    <w:rsid w:val="00D921A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21A4"/>
  </w:style>
  <w:style w:type="character" w:customStyle="1" w:styleId="eop">
    <w:name w:val="eop"/>
    <w:basedOn w:val="DefaultParagraphFont"/>
    <w:rsid w:val="00D921A4"/>
  </w:style>
  <w:style w:type="character" w:customStyle="1" w:styleId="scxw107762745">
    <w:name w:val="scxw107762745"/>
    <w:basedOn w:val="DefaultParagraphFont"/>
    <w:rsid w:val="00D921A4"/>
  </w:style>
  <w:style w:type="character" w:styleId="Hyperlink">
    <w:name w:val="Hyperlink"/>
    <w:basedOn w:val="DefaultParagraphFont"/>
    <w:uiPriority w:val="99"/>
    <w:unhideWhenUsed/>
    <w:rsid w:val="00055260"/>
    <w:rPr>
      <w:color w:val="0563C1" w:themeColor="hyperlink"/>
      <w:u w:val="single"/>
    </w:rPr>
  </w:style>
  <w:style w:type="character" w:styleId="UnresolvedMention">
    <w:name w:val="Unresolved Mention"/>
    <w:basedOn w:val="DefaultParagraphFont"/>
    <w:uiPriority w:val="99"/>
    <w:semiHidden/>
    <w:unhideWhenUsed/>
    <w:rsid w:val="0005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153">
      <w:bodyDiv w:val="1"/>
      <w:marLeft w:val="0"/>
      <w:marRight w:val="0"/>
      <w:marTop w:val="0"/>
      <w:marBottom w:val="0"/>
      <w:divBdr>
        <w:top w:val="none" w:sz="0" w:space="0" w:color="auto"/>
        <w:left w:val="none" w:sz="0" w:space="0" w:color="auto"/>
        <w:bottom w:val="none" w:sz="0" w:space="0" w:color="auto"/>
        <w:right w:val="none" w:sz="0" w:space="0" w:color="auto"/>
      </w:divBdr>
      <w:divsChild>
        <w:div w:id="737090905">
          <w:marLeft w:val="0"/>
          <w:marRight w:val="0"/>
          <w:marTop w:val="0"/>
          <w:marBottom w:val="0"/>
          <w:divBdr>
            <w:top w:val="none" w:sz="0" w:space="0" w:color="auto"/>
            <w:left w:val="none" w:sz="0" w:space="0" w:color="auto"/>
            <w:bottom w:val="none" w:sz="0" w:space="0" w:color="auto"/>
            <w:right w:val="none" w:sz="0" w:space="0" w:color="auto"/>
          </w:divBdr>
        </w:div>
        <w:div w:id="1800489699">
          <w:marLeft w:val="0"/>
          <w:marRight w:val="0"/>
          <w:marTop w:val="0"/>
          <w:marBottom w:val="0"/>
          <w:divBdr>
            <w:top w:val="none" w:sz="0" w:space="0" w:color="auto"/>
            <w:left w:val="none" w:sz="0" w:space="0" w:color="auto"/>
            <w:bottom w:val="none" w:sz="0" w:space="0" w:color="auto"/>
            <w:right w:val="none" w:sz="0" w:space="0" w:color="auto"/>
          </w:divBdr>
        </w:div>
      </w:divsChild>
    </w:div>
    <w:div w:id="528614794">
      <w:bodyDiv w:val="1"/>
      <w:marLeft w:val="0"/>
      <w:marRight w:val="0"/>
      <w:marTop w:val="0"/>
      <w:marBottom w:val="0"/>
      <w:divBdr>
        <w:top w:val="none" w:sz="0" w:space="0" w:color="auto"/>
        <w:left w:val="none" w:sz="0" w:space="0" w:color="auto"/>
        <w:bottom w:val="none" w:sz="0" w:space="0" w:color="auto"/>
        <w:right w:val="none" w:sz="0" w:space="0" w:color="auto"/>
      </w:divBdr>
    </w:div>
    <w:div w:id="867335458">
      <w:bodyDiv w:val="1"/>
      <w:marLeft w:val="0"/>
      <w:marRight w:val="0"/>
      <w:marTop w:val="0"/>
      <w:marBottom w:val="0"/>
      <w:divBdr>
        <w:top w:val="none" w:sz="0" w:space="0" w:color="auto"/>
        <w:left w:val="none" w:sz="0" w:space="0" w:color="auto"/>
        <w:bottom w:val="none" w:sz="0" w:space="0" w:color="auto"/>
        <w:right w:val="none" w:sz="0" w:space="0" w:color="auto"/>
      </w:divBdr>
      <w:divsChild>
        <w:div w:id="260067716">
          <w:marLeft w:val="0"/>
          <w:marRight w:val="0"/>
          <w:marTop w:val="0"/>
          <w:marBottom w:val="0"/>
          <w:divBdr>
            <w:top w:val="none" w:sz="0" w:space="0" w:color="auto"/>
            <w:left w:val="none" w:sz="0" w:space="0" w:color="auto"/>
            <w:bottom w:val="none" w:sz="0" w:space="0" w:color="auto"/>
            <w:right w:val="none" w:sz="0" w:space="0" w:color="auto"/>
          </w:divBdr>
        </w:div>
        <w:div w:id="1080492969">
          <w:marLeft w:val="0"/>
          <w:marRight w:val="0"/>
          <w:marTop w:val="0"/>
          <w:marBottom w:val="0"/>
          <w:divBdr>
            <w:top w:val="none" w:sz="0" w:space="0" w:color="auto"/>
            <w:left w:val="none" w:sz="0" w:space="0" w:color="auto"/>
            <w:bottom w:val="none" w:sz="0" w:space="0" w:color="auto"/>
            <w:right w:val="none" w:sz="0" w:space="0" w:color="auto"/>
          </w:divBdr>
        </w:div>
        <w:div w:id="1155493333">
          <w:marLeft w:val="0"/>
          <w:marRight w:val="0"/>
          <w:marTop w:val="0"/>
          <w:marBottom w:val="0"/>
          <w:divBdr>
            <w:top w:val="none" w:sz="0" w:space="0" w:color="auto"/>
            <w:left w:val="none" w:sz="0" w:space="0" w:color="auto"/>
            <w:bottom w:val="none" w:sz="0" w:space="0" w:color="auto"/>
            <w:right w:val="none" w:sz="0" w:space="0" w:color="auto"/>
          </w:divBdr>
        </w:div>
        <w:div w:id="1557665385">
          <w:marLeft w:val="0"/>
          <w:marRight w:val="0"/>
          <w:marTop w:val="0"/>
          <w:marBottom w:val="0"/>
          <w:divBdr>
            <w:top w:val="none" w:sz="0" w:space="0" w:color="auto"/>
            <w:left w:val="none" w:sz="0" w:space="0" w:color="auto"/>
            <w:bottom w:val="none" w:sz="0" w:space="0" w:color="auto"/>
            <w:right w:val="none" w:sz="0" w:space="0" w:color="auto"/>
          </w:divBdr>
        </w:div>
        <w:div w:id="1594706698">
          <w:marLeft w:val="0"/>
          <w:marRight w:val="0"/>
          <w:marTop w:val="0"/>
          <w:marBottom w:val="0"/>
          <w:divBdr>
            <w:top w:val="none" w:sz="0" w:space="0" w:color="auto"/>
            <w:left w:val="none" w:sz="0" w:space="0" w:color="auto"/>
            <w:bottom w:val="none" w:sz="0" w:space="0" w:color="auto"/>
            <w:right w:val="none" w:sz="0" w:space="0" w:color="auto"/>
          </w:divBdr>
        </w:div>
        <w:div w:id="2005738737">
          <w:marLeft w:val="0"/>
          <w:marRight w:val="0"/>
          <w:marTop w:val="0"/>
          <w:marBottom w:val="0"/>
          <w:divBdr>
            <w:top w:val="none" w:sz="0" w:space="0" w:color="auto"/>
            <w:left w:val="none" w:sz="0" w:space="0" w:color="auto"/>
            <w:bottom w:val="none" w:sz="0" w:space="0" w:color="auto"/>
            <w:right w:val="none" w:sz="0" w:space="0" w:color="auto"/>
          </w:divBdr>
        </w:div>
      </w:divsChild>
    </w:div>
    <w:div w:id="1578707054">
      <w:bodyDiv w:val="1"/>
      <w:marLeft w:val="0"/>
      <w:marRight w:val="0"/>
      <w:marTop w:val="0"/>
      <w:marBottom w:val="0"/>
      <w:divBdr>
        <w:top w:val="none" w:sz="0" w:space="0" w:color="auto"/>
        <w:left w:val="none" w:sz="0" w:space="0" w:color="auto"/>
        <w:bottom w:val="none" w:sz="0" w:space="0" w:color="auto"/>
        <w:right w:val="none" w:sz="0" w:space="0" w:color="auto"/>
      </w:divBdr>
      <w:divsChild>
        <w:div w:id="367803779">
          <w:marLeft w:val="0"/>
          <w:marRight w:val="0"/>
          <w:marTop w:val="0"/>
          <w:marBottom w:val="0"/>
          <w:divBdr>
            <w:top w:val="none" w:sz="0" w:space="0" w:color="auto"/>
            <w:left w:val="none" w:sz="0" w:space="0" w:color="auto"/>
            <w:bottom w:val="none" w:sz="0" w:space="0" w:color="auto"/>
            <w:right w:val="none" w:sz="0" w:space="0" w:color="auto"/>
          </w:divBdr>
        </w:div>
        <w:div w:id="166593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womonuwa@rm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mailto:zmeng@rm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21B47-743E-425B-9C15-F66ACEDBEE1E}" type="doc">
      <dgm:prSet loTypeId="urn:microsoft.com/office/officeart/2005/8/layout/chevronAccent+Icon" loCatId="officeonline" qsTypeId="urn:microsoft.com/office/officeart/2005/8/quickstyle/simple1" qsCatId="simple" csTypeId="urn:microsoft.com/office/officeart/2005/8/colors/accent1_4" csCatId="accent1" phldr="1"/>
      <dgm:spPr/>
      <dgm:t>
        <a:bodyPr/>
        <a:lstStyle/>
        <a:p>
          <a:endParaRPr lang="en-US"/>
        </a:p>
      </dgm:t>
    </dgm:pt>
    <dgm:pt modelId="{AC964B7A-4F8A-4C68-BF43-337739F7A8B8}">
      <dgm:prSet phldrT="[Text]"/>
      <dgm:spPr/>
      <dgm:t>
        <a:bodyPr/>
        <a:lstStyle/>
        <a:p>
          <a:pPr algn="ctr"/>
          <a:r>
            <a:rPr lang="en-US">
              <a:latin typeface="Tw Cen MT" panose="020B0602020104020603" pitchFamily="34" charset="0"/>
            </a:rPr>
            <a:t>Recommeded Transaction terms</a:t>
          </a:r>
        </a:p>
      </dgm:t>
    </dgm:pt>
    <dgm:pt modelId="{1222AD48-11F5-4D0A-A6DE-F51690BB56D3}" type="parTrans" cxnId="{5F41BD02-7D7D-44A2-8630-33553F0FDAAD}">
      <dgm:prSet/>
      <dgm:spPr/>
      <dgm:t>
        <a:bodyPr/>
        <a:lstStyle/>
        <a:p>
          <a:pPr algn="ctr"/>
          <a:endParaRPr lang="en-US">
            <a:latin typeface="Tw Cen MT" panose="020B0602020104020603" pitchFamily="34" charset="0"/>
          </a:endParaRPr>
        </a:p>
      </dgm:t>
    </dgm:pt>
    <dgm:pt modelId="{112F5D19-C5D3-423B-810C-B4CFCC629797}" type="sibTrans" cxnId="{5F41BD02-7D7D-44A2-8630-33553F0FDAAD}">
      <dgm:prSet/>
      <dgm:spPr/>
      <dgm:t>
        <a:bodyPr/>
        <a:lstStyle/>
        <a:p>
          <a:pPr algn="ctr"/>
          <a:endParaRPr lang="en-US">
            <a:latin typeface="Tw Cen MT" panose="020B0602020104020603" pitchFamily="34" charset="0"/>
          </a:endParaRPr>
        </a:p>
      </dgm:t>
    </dgm:pt>
    <dgm:pt modelId="{083C73CB-FE85-4264-BE65-FB2816A72B4F}">
      <dgm:prSet phldrT="[Text]"/>
      <dgm:spPr/>
      <dgm:t>
        <a:bodyPr/>
        <a:lstStyle/>
        <a:p>
          <a:pPr algn="ctr"/>
          <a:r>
            <a:rPr lang="en-US">
              <a:latin typeface="Tw Cen MT" panose="020B0602020104020603" pitchFamily="34" charset="0"/>
            </a:rPr>
            <a:t>Negotiation</a:t>
          </a:r>
        </a:p>
      </dgm:t>
    </dgm:pt>
    <dgm:pt modelId="{2A001864-B2AA-4A78-A066-D2C88A5DABD2}" type="parTrans" cxnId="{8742164B-1501-4C2F-BE6F-629BC479F45E}">
      <dgm:prSet/>
      <dgm:spPr/>
      <dgm:t>
        <a:bodyPr/>
        <a:lstStyle/>
        <a:p>
          <a:pPr algn="ctr"/>
          <a:endParaRPr lang="en-US">
            <a:latin typeface="Tw Cen MT" panose="020B0602020104020603" pitchFamily="34" charset="0"/>
          </a:endParaRPr>
        </a:p>
      </dgm:t>
    </dgm:pt>
    <dgm:pt modelId="{EC04E4EC-C060-4783-8666-F6E2A0B74778}" type="sibTrans" cxnId="{8742164B-1501-4C2F-BE6F-629BC479F45E}">
      <dgm:prSet/>
      <dgm:spPr/>
      <dgm:t>
        <a:bodyPr/>
        <a:lstStyle/>
        <a:p>
          <a:pPr algn="ctr"/>
          <a:endParaRPr lang="en-US">
            <a:latin typeface="Tw Cen MT" panose="020B0602020104020603" pitchFamily="34" charset="0"/>
          </a:endParaRPr>
        </a:p>
      </dgm:t>
    </dgm:pt>
    <dgm:pt modelId="{4C53C5D0-9BEC-41A3-9F78-F08FDE656423}">
      <dgm:prSet phldrT="[Text]"/>
      <dgm:spPr/>
      <dgm:t>
        <a:bodyPr/>
        <a:lstStyle/>
        <a:p>
          <a:pPr algn="ctr"/>
          <a:r>
            <a:rPr lang="en-US">
              <a:latin typeface="Tw Cen MT" panose="020B0602020104020603" pitchFamily="34" charset="0"/>
            </a:rPr>
            <a:t>Contract Agreement</a:t>
          </a:r>
        </a:p>
      </dgm:t>
    </dgm:pt>
    <dgm:pt modelId="{B1DC98E8-8C36-4A4B-A8EA-C3254E7B1689}" type="parTrans" cxnId="{D02F253F-5375-4243-BFDA-4B44D4E51A7E}">
      <dgm:prSet/>
      <dgm:spPr/>
      <dgm:t>
        <a:bodyPr/>
        <a:lstStyle/>
        <a:p>
          <a:pPr algn="ctr"/>
          <a:endParaRPr lang="en-US">
            <a:latin typeface="Tw Cen MT" panose="020B0602020104020603" pitchFamily="34" charset="0"/>
          </a:endParaRPr>
        </a:p>
      </dgm:t>
    </dgm:pt>
    <dgm:pt modelId="{5F2AE90B-7D43-4246-A239-F5035BEF06BA}" type="sibTrans" cxnId="{D02F253F-5375-4243-BFDA-4B44D4E51A7E}">
      <dgm:prSet/>
      <dgm:spPr/>
      <dgm:t>
        <a:bodyPr/>
        <a:lstStyle/>
        <a:p>
          <a:pPr algn="ctr"/>
          <a:endParaRPr lang="en-US">
            <a:latin typeface="Tw Cen MT" panose="020B0602020104020603" pitchFamily="34" charset="0"/>
          </a:endParaRPr>
        </a:p>
      </dgm:t>
    </dgm:pt>
    <dgm:pt modelId="{03ABA494-8E54-994D-A346-E6C49FEE5B68}">
      <dgm:prSet/>
      <dgm:spPr/>
      <dgm:t>
        <a:bodyPr/>
        <a:lstStyle/>
        <a:p>
          <a:pPr algn="ctr"/>
          <a:r>
            <a:rPr lang="en-US">
              <a:latin typeface="Tw Cen MT" panose="020B0602020104020603" pitchFamily="34" charset="0"/>
            </a:rPr>
            <a:t>Agreed Project Term Sheet</a:t>
          </a:r>
        </a:p>
      </dgm:t>
    </dgm:pt>
    <dgm:pt modelId="{5F404A5C-5964-2940-8F77-7C2EBEE88229}" type="parTrans" cxnId="{F2AFEA3E-F37D-BC47-A681-155AD16847CA}">
      <dgm:prSet/>
      <dgm:spPr/>
      <dgm:t>
        <a:bodyPr/>
        <a:lstStyle/>
        <a:p>
          <a:pPr algn="ctr"/>
          <a:endParaRPr lang="en-US">
            <a:latin typeface="Tw Cen MT" panose="020B0602020104020603" pitchFamily="34" charset="0"/>
          </a:endParaRPr>
        </a:p>
      </dgm:t>
    </dgm:pt>
    <dgm:pt modelId="{F6C20CFD-69F9-634B-AFEE-9A0EEE1F08FF}" type="sibTrans" cxnId="{F2AFEA3E-F37D-BC47-A681-155AD16847CA}">
      <dgm:prSet/>
      <dgm:spPr/>
      <dgm:t>
        <a:bodyPr/>
        <a:lstStyle/>
        <a:p>
          <a:pPr algn="ctr"/>
          <a:endParaRPr lang="en-US">
            <a:latin typeface="Tw Cen MT" panose="020B0602020104020603" pitchFamily="34" charset="0"/>
          </a:endParaRPr>
        </a:p>
      </dgm:t>
    </dgm:pt>
    <dgm:pt modelId="{D1A47A66-F4A5-4BA9-B9F4-9DA82EED4ADF}" type="pres">
      <dgm:prSet presAssocID="{20521B47-743E-425B-9C15-F66ACEDBEE1E}" presName="Name0" presStyleCnt="0">
        <dgm:presLayoutVars>
          <dgm:dir/>
          <dgm:resizeHandles val="exact"/>
        </dgm:presLayoutVars>
      </dgm:prSet>
      <dgm:spPr/>
    </dgm:pt>
    <dgm:pt modelId="{4D119A8F-15F2-4DFA-B740-884671CDC9A2}" type="pres">
      <dgm:prSet presAssocID="{AC964B7A-4F8A-4C68-BF43-337739F7A8B8}" presName="composite" presStyleCnt="0"/>
      <dgm:spPr/>
    </dgm:pt>
    <dgm:pt modelId="{F1E7D803-E837-476E-947A-090552B18430}" type="pres">
      <dgm:prSet presAssocID="{AC964B7A-4F8A-4C68-BF43-337739F7A8B8}" presName="bgChev" presStyleLbl="node1" presStyleIdx="0" presStyleCnt="4"/>
      <dgm:spPr/>
    </dgm:pt>
    <dgm:pt modelId="{E0C89B28-F6E5-4BE4-AA0F-3D0CF692D857}" type="pres">
      <dgm:prSet presAssocID="{AC964B7A-4F8A-4C68-BF43-337739F7A8B8}" presName="txNode" presStyleLbl="fgAcc1" presStyleIdx="0" presStyleCnt="4">
        <dgm:presLayoutVars>
          <dgm:bulletEnabled val="1"/>
        </dgm:presLayoutVars>
      </dgm:prSet>
      <dgm:spPr/>
    </dgm:pt>
    <dgm:pt modelId="{60EB2E62-BD8B-4E09-A4F7-F3E1CFA0EE18}" type="pres">
      <dgm:prSet presAssocID="{112F5D19-C5D3-423B-810C-B4CFCC629797}" presName="compositeSpace" presStyleCnt="0"/>
      <dgm:spPr/>
    </dgm:pt>
    <dgm:pt modelId="{EC3DD33A-1D21-47F7-BB25-8C867C3A24E3}" type="pres">
      <dgm:prSet presAssocID="{083C73CB-FE85-4264-BE65-FB2816A72B4F}" presName="composite" presStyleCnt="0"/>
      <dgm:spPr/>
    </dgm:pt>
    <dgm:pt modelId="{34613593-9995-4107-8EBB-933121D43CCA}" type="pres">
      <dgm:prSet presAssocID="{083C73CB-FE85-4264-BE65-FB2816A72B4F}" presName="bgChev" presStyleLbl="node1" presStyleIdx="1" presStyleCnt="4"/>
      <dgm:spPr/>
    </dgm:pt>
    <dgm:pt modelId="{15F431A4-4C3E-4F9A-8AAA-5BB55281BCB0}" type="pres">
      <dgm:prSet presAssocID="{083C73CB-FE85-4264-BE65-FB2816A72B4F}" presName="txNode" presStyleLbl="fgAcc1" presStyleIdx="1" presStyleCnt="4">
        <dgm:presLayoutVars>
          <dgm:bulletEnabled val="1"/>
        </dgm:presLayoutVars>
      </dgm:prSet>
      <dgm:spPr/>
    </dgm:pt>
    <dgm:pt modelId="{D4EFF717-9AD9-4849-B91F-8C52F3C7EA9E}" type="pres">
      <dgm:prSet presAssocID="{EC04E4EC-C060-4783-8666-F6E2A0B74778}" presName="compositeSpace" presStyleCnt="0"/>
      <dgm:spPr/>
    </dgm:pt>
    <dgm:pt modelId="{B74A92A5-9A1A-1142-8715-41906B036F31}" type="pres">
      <dgm:prSet presAssocID="{03ABA494-8E54-994D-A346-E6C49FEE5B68}" presName="composite" presStyleCnt="0"/>
      <dgm:spPr/>
    </dgm:pt>
    <dgm:pt modelId="{A3055BCD-3F17-8F4D-8C69-68973AA0533F}" type="pres">
      <dgm:prSet presAssocID="{03ABA494-8E54-994D-A346-E6C49FEE5B68}" presName="bgChev" presStyleLbl="node1" presStyleIdx="2" presStyleCnt="4"/>
      <dgm:spPr/>
    </dgm:pt>
    <dgm:pt modelId="{C97BCE1A-332A-6142-9519-B3A9BD6BA007}" type="pres">
      <dgm:prSet presAssocID="{03ABA494-8E54-994D-A346-E6C49FEE5B68}" presName="txNode" presStyleLbl="fgAcc1" presStyleIdx="2" presStyleCnt="4">
        <dgm:presLayoutVars>
          <dgm:bulletEnabled val="1"/>
        </dgm:presLayoutVars>
      </dgm:prSet>
      <dgm:spPr/>
    </dgm:pt>
    <dgm:pt modelId="{749D5EA7-66F3-DC4A-8123-E84E041571C9}" type="pres">
      <dgm:prSet presAssocID="{F6C20CFD-69F9-634B-AFEE-9A0EEE1F08FF}" presName="compositeSpace" presStyleCnt="0"/>
      <dgm:spPr/>
    </dgm:pt>
    <dgm:pt modelId="{60308933-F981-4702-BFD0-2E57ED83D0A6}" type="pres">
      <dgm:prSet presAssocID="{4C53C5D0-9BEC-41A3-9F78-F08FDE656423}" presName="composite" presStyleCnt="0"/>
      <dgm:spPr/>
    </dgm:pt>
    <dgm:pt modelId="{93D5855A-6F59-4F27-885D-72619808EC48}" type="pres">
      <dgm:prSet presAssocID="{4C53C5D0-9BEC-41A3-9F78-F08FDE656423}" presName="bgChev" presStyleLbl="node1" presStyleIdx="3" presStyleCnt="4"/>
      <dgm:spPr/>
    </dgm:pt>
    <dgm:pt modelId="{C415A67C-69E8-4E80-952F-B7FB585AC576}" type="pres">
      <dgm:prSet presAssocID="{4C53C5D0-9BEC-41A3-9F78-F08FDE656423}" presName="txNode" presStyleLbl="fgAcc1" presStyleIdx="3" presStyleCnt="4">
        <dgm:presLayoutVars>
          <dgm:bulletEnabled val="1"/>
        </dgm:presLayoutVars>
      </dgm:prSet>
      <dgm:spPr/>
    </dgm:pt>
  </dgm:ptLst>
  <dgm:cxnLst>
    <dgm:cxn modelId="{5F41BD02-7D7D-44A2-8630-33553F0FDAAD}" srcId="{20521B47-743E-425B-9C15-F66ACEDBEE1E}" destId="{AC964B7A-4F8A-4C68-BF43-337739F7A8B8}" srcOrd="0" destOrd="0" parTransId="{1222AD48-11F5-4D0A-A6DE-F51690BB56D3}" sibTransId="{112F5D19-C5D3-423B-810C-B4CFCC629797}"/>
    <dgm:cxn modelId="{3B1FA010-B3FF-42E4-B574-C48232A27B29}" type="presOf" srcId="{AC964B7A-4F8A-4C68-BF43-337739F7A8B8}" destId="{E0C89B28-F6E5-4BE4-AA0F-3D0CF692D857}" srcOrd="0" destOrd="0" presId="urn:microsoft.com/office/officeart/2005/8/layout/chevronAccent+Icon"/>
    <dgm:cxn modelId="{B923F820-23E8-7B47-98E8-E12B2BA0A18E}" type="presOf" srcId="{03ABA494-8E54-994D-A346-E6C49FEE5B68}" destId="{C97BCE1A-332A-6142-9519-B3A9BD6BA007}" srcOrd="0" destOrd="0" presId="urn:microsoft.com/office/officeart/2005/8/layout/chevronAccent+Icon"/>
    <dgm:cxn modelId="{B8A3C823-A3F8-424A-BE38-F211D20354A1}" type="presOf" srcId="{083C73CB-FE85-4264-BE65-FB2816A72B4F}" destId="{15F431A4-4C3E-4F9A-8AAA-5BB55281BCB0}" srcOrd="0" destOrd="0" presId="urn:microsoft.com/office/officeart/2005/8/layout/chevronAccent+Icon"/>
    <dgm:cxn modelId="{F2AFEA3E-F37D-BC47-A681-155AD16847CA}" srcId="{20521B47-743E-425B-9C15-F66ACEDBEE1E}" destId="{03ABA494-8E54-994D-A346-E6C49FEE5B68}" srcOrd="2" destOrd="0" parTransId="{5F404A5C-5964-2940-8F77-7C2EBEE88229}" sibTransId="{F6C20CFD-69F9-634B-AFEE-9A0EEE1F08FF}"/>
    <dgm:cxn modelId="{D02F253F-5375-4243-BFDA-4B44D4E51A7E}" srcId="{20521B47-743E-425B-9C15-F66ACEDBEE1E}" destId="{4C53C5D0-9BEC-41A3-9F78-F08FDE656423}" srcOrd="3" destOrd="0" parTransId="{B1DC98E8-8C36-4A4B-A8EA-C3254E7B1689}" sibTransId="{5F2AE90B-7D43-4246-A239-F5035BEF06BA}"/>
    <dgm:cxn modelId="{8742164B-1501-4C2F-BE6F-629BC479F45E}" srcId="{20521B47-743E-425B-9C15-F66ACEDBEE1E}" destId="{083C73CB-FE85-4264-BE65-FB2816A72B4F}" srcOrd="1" destOrd="0" parTransId="{2A001864-B2AA-4A78-A066-D2C88A5DABD2}" sibTransId="{EC04E4EC-C060-4783-8666-F6E2A0B74778}"/>
    <dgm:cxn modelId="{65A3419E-8E45-4E65-8D78-44AF215C21AE}" type="presOf" srcId="{20521B47-743E-425B-9C15-F66ACEDBEE1E}" destId="{D1A47A66-F4A5-4BA9-B9F4-9DA82EED4ADF}" srcOrd="0" destOrd="0" presId="urn:microsoft.com/office/officeart/2005/8/layout/chevronAccent+Icon"/>
    <dgm:cxn modelId="{91C5A9E0-4336-498B-B23C-2A408D8B776A}" type="presOf" srcId="{4C53C5D0-9BEC-41A3-9F78-F08FDE656423}" destId="{C415A67C-69E8-4E80-952F-B7FB585AC576}" srcOrd="0" destOrd="0" presId="urn:microsoft.com/office/officeart/2005/8/layout/chevronAccent+Icon"/>
    <dgm:cxn modelId="{5BAD2FAF-F1C6-4A6B-BA18-F76FA0C488AC}" type="presParOf" srcId="{D1A47A66-F4A5-4BA9-B9F4-9DA82EED4ADF}" destId="{4D119A8F-15F2-4DFA-B740-884671CDC9A2}" srcOrd="0" destOrd="0" presId="urn:microsoft.com/office/officeart/2005/8/layout/chevronAccent+Icon"/>
    <dgm:cxn modelId="{EC65DEEB-60BF-48E5-A9E8-381CE99D0416}" type="presParOf" srcId="{4D119A8F-15F2-4DFA-B740-884671CDC9A2}" destId="{F1E7D803-E837-476E-947A-090552B18430}" srcOrd="0" destOrd="0" presId="urn:microsoft.com/office/officeart/2005/8/layout/chevronAccent+Icon"/>
    <dgm:cxn modelId="{18604225-4C1C-47A3-A0D9-7B3EA41E0F08}" type="presParOf" srcId="{4D119A8F-15F2-4DFA-B740-884671CDC9A2}" destId="{E0C89B28-F6E5-4BE4-AA0F-3D0CF692D857}" srcOrd="1" destOrd="0" presId="urn:microsoft.com/office/officeart/2005/8/layout/chevronAccent+Icon"/>
    <dgm:cxn modelId="{A2B6BFE4-CD4C-4448-ABAF-AF47B80AF5E4}" type="presParOf" srcId="{D1A47A66-F4A5-4BA9-B9F4-9DA82EED4ADF}" destId="{60EB2E62-BD8B-4E09-A4F7-F3E1CFA0EE18}" srcOrd="1" destOrd="0" presId="urn:microsoft.com/office/officeart/2005/8/layout/chevronAccent+Icon"/>
    <dgm:cxn modelId="{31C1DF16-0ECF-4375-8F4C-68D9385701D6}" type="presParOf" srcId="{D1A47A66-F4A5-4BA9-B9F4-9DA82EED4ADF}" destId="{EC3DD33A-1D21-47F7-BB25-8C867C3A24E3}" srcOrd="2" destOrd="0" presId="urn:microsoft.com/office/officeart/2005/8/layout/chevronAccent+Icon"/>
    <dgm:cxn modelId="{A007CB66-BC7B-4323-B76F-3D12FAEA9F90}" type="presParOf" srcId="{EC3DD33A-1D21-47F7-BB25-8C867C3A24E3}" destId="{34613593-9995-4107-8EBB-933121D43CCA}" srcOrd="0" destOrd="0" presId="urn:microsoft.com/office/officeart/2005/8/layout/chevronAccent+Icon"/>
    <dgm:cxn modelId="{9260ADFA-59A2-42BC-ACC2-CDECF1E261D9}" type="presParOf" srcId="{EC3DD33A-1D21-47F7-BB25-8C867C3A24E3}" destId="{15F431A4-4C3E-4F9A-8AAA-5BB55281BCB0}" srcOrd="1" destOrd="0" presId="urn:microsoft.com/office/officeart/2005/8/layout/chevronAccent+Icon"/>
    <dgm:cxn modelId="{6FCE9F52-71A6-4125-BD0B-AFA88109E38C}" type="presParOf" srcId="{D1A47A66-F4A5-4BA9-B9F4-9DA82EED4ADF}" destId="{D4EFF717-9AD9-4849-B91F-8C52F3C7EA9E}" srcOrd="3" destOrd="0" presId="urn:microsoft.com/office/officeart/2005/8/layout/chevronAccent+Icon"/>
    <dgm:cxn modelId="{B4BDEEBF-F2FA-3F41-8558-19F1E41843E2}" type="presParOf" srcId="{D1A47A66-F4A5-4BA9-B9F4-9DA82EED4ADF}" destId="{B74A92A5-9A1A-1142-8715-41906B036F31}" srcOrd="4" destOrd="0" presId="urn:microsoft.com/office/officeart/2005/8/layout/chevronAccent+Icon"/>
    <dgm:cxn modelId="{73A83E41-3863-524E-A4C6-718681C745E0}" type="presParOf" srcId="{B74A92A5-9A1A-1142-8715-41906B036F31}" destId="{A3055BCD-3F17-8F4D-8C69-68973AA0533F}" srcOrd="0" destOrd="0" presId="urn:microsoft.com/office/officeart/2005/8/layout/chevronAccent+Icon"/>
    <dgm:cxn modelId="{9EE18224-2570-2E4E-B2A2-CF82CB9162E8}" type="presParOf" srcId="{B74A92A5-9A1A-1142-8715-41906B036F31}" destId="{C97BCE1A-332A-6142-9519-B3A9BD6BA007}" srcOrd="1" destOrd="0" presId="urn:microsoft.com/office/officeart/2005/8/layout/chevronAccent+Icon"/>
    <dgm:cxn modelId="{0809DCA1-508F-424D-A418-112B92EA6022}" type="presParOf" srcId="{D1A47A66-F4A5-4BA9-B9F4-9DA82EED4ADF}" destId="{749D5EA7-66F3-DC4A-8123-E84E041571C9}" srcOrd="5" destOrd="0" presId="urn:microsoft.com/office/officeart/2005/8/layout/chevronAccent+Icon"/>
    <dgm:cxn modelId="{FC8BADD9-8288-42CC-A7D3-77463BCD5792}" type="presParOf" srcId="{D1A47A66-F4A5-4BA9-B9F4-9DA82EED4ADF}" destId="{60308933-F981-4702-BFD0-2E57ED83D0A6}" srcOrd="6" destOrd="0" presId="urn:microsoft.com/office/officeart/2005/8/layout/chevronAccent+Icon"/>
    <dgm:cxn modelId="{E2819586-5E4B-4731-85CF-915CFC4C2048}" type="presParOf" srcId="{60308933-F981-4702-BFD0-2E57ED83D0A6}" destId="{93D5855A-6F59-4F27-885D-72619808EC48}" srcOrd="0" destOrd="0" presId="urn:microsoft.com/office/officeart/2005/8/layout/chevronAccent+Icon"/>
    <dgm:cxn modelId="{B1307152-7722-4463-89EF-6039D5526949}" type="presParOf" srcId="{60308933-F981-4702-BFD0-2E57ED83D0A6}" destId="{C415A67C-69E8-4E80-952F-B7FB585AC576}" srcOrd="1" destOrd="0" presId="urn:microsoft.com/office/officeart/2005/8/layout/chevronAccent+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E7D803-E837-476E-947A-090552B18430}">
      <dsp:nvSpPr>
        <dsp:cNvPr id="0" name=""/>
        <dsp:cNvSpPr/>
      </dsp:nvSpPr>
      <dsp:spPr>
        <a:xfrm>
          <a:off x="2508" y="284476"/>
          <a:ext cx="1180796" cy="455787"/>
        </a:xfrm>
        <a:prstGeom prst="chevron">
          <a:avLst>
            <a:gd name="adj" fmla="val 4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89B28-F6E5-4BE4-AA0F-3D0CF692D857}">
      <dsp:nvSpPr>
        <dsp:cNvPr id="0" name=""/>
        <dsp:cNvSpPr/>
      </dsp:nvSpPr>
      <dsp:spPr>
        <a:xfrm>
          <a:off x="317387"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Recommeded Transaction terms</a:t>
          </a:r>
        </a:p>
      </dsp:txBody>
      <dsp:txXfrm>
        <a:off x="330737" y="411773"/>
        <a:ext cx="970417" cy="429087"/>
      </dsp:txXfrm>
    </dsp:sp>
    <dsp:sp modelId="{34613593-9995-4107-8EBB-933121D43CCA}">
      <dsp:nvSpPr>
        <dsp:cNvPr id="0" name=""/>
        <dsp:cNvSpPr/>
      </dsp:nvSpPr>
      <dsp:spPr>
        <a:xfrm>
          <a:off x="1351240"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F431A4-4C3E-4F9A-8AAA-5BB55281BCB0}">
      <dsp:nvSpPr>
        <dsp:cNvPr id="0" name=""/>
        <dsp:cNvSpPr/>
      </dsp:nvSpPr>
      <dsp:spPr>
        <a:xfrm>
          <a:off x="1666119"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Negotiation</a:t>
          </a:r>
        </a:p>
      </dsp:txBody>
      <dsp:txXfrm>
        <a:off x="1679469" y="411773"/>
        <a:ext cx="970417" cy="429087"/>
      </dsp:txXfrm>
    </dsp:sp>
    <dsp:sp modelId="{A3055BCD-3F17-8F4D-8C69-68973AA0533F}">
      <dsp:nvSpPr>
        <dsp:cNvPr id="0" name=""/>
        <dsp:cNvSpPr/>
      </dsp:nvSpPr>
      <dsp:spPr>
        <a:xfrm>
          <a:off x="2699972" y="284476"/>
          <a:ext cx="1180796" cy="455787"/>
        </a:xfrm>
        <a:prstGeom prst="chevron">
          <a:avLst>
            <a:gd name="adj" fmla="val 40000"/>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7BCE1A-332A-6142-9519-B3A9BD6BA007}">
      <dsp:nvSpPr>
        <dsp:cNvPr id="0" name=""/>
        <dsp:cNvSpPr/>
      </dsp:nvSpPr>
      <dsp:spPr>
        <a:xfrm>
          <a:off x="3014852"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402493"/>
              <a:satOff val="-9802"/>
              <a:lumOff val="428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Agreed Project Term Sheet</a:t>
          </a:r>
        </a:p>
      </dsp:txBody>
      <dsp:txXfrm>
        <a:off x="3028202" y="411773"/>
        <a:ext cx="970417" cy="429087"/>
      </dsp:txXfrm>
    </dsp:sp>
    <dsp:sp modelId="{93D5855A-6F59-4F27-885D-72619808EC48}">
      <dsp:nvSpPr>
        <dsp:cNvPr id="0" name=""/>
        <dsp:cNvSpPr/>
      </dsp:nvSpPr>
      <dsp:spPr>
        <a:xfrm>
          <a:off x="4048705"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15A67C-69E8-4E80-952F-B7FB585AC576}">
      <dsp:nvSpPr>
        <dsp:cNvPr id="0" name=""/>
        <dsp:cNvSpPr/>
      </dsp:nvSpPr>
      <dsp:spPr>
        <a:xfrm>
          <a:off x="4363584"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Contract Agreement</a:t>
          </a:r>
        </a:p>
      </dsp:txBody>
      <dsp:txXfrm>
        <a:off x="4376934" y="411773"/>
        <a:ext cx="970417" cy="429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B9AC-F8D9-46E3-8245-5B64884D6BC5}">
  <ds:schemaRefs>
    <ds:schemaRef ds:uri="http://schemas.microsoft.com/office/2006/metadata/properties"/>
    <ds:schemaRef ds:uri="http://schemas.microsoft.com/office/infopath/2007/PartnerControls"/>
    <ds:schemaRef ds:uri="8c66610d-0d8a-492e-9fd3-9135c72daf58"/>
    <ds:schemaRef ds:uri="fa747068-9291-4cb6-80ba-56ab6cc50424"/>
    <ds:schemaRef ds:uri="a1df9832-fa29-4d0b-8301-c5ccf72ca850"/>
  </ds:schemaRefs>
</ds:datastoreItem>
</file>

<file path=customXml/itemProps2.xml><?xml version="1.0" encoding="utf-8"?>
<ds:datastoreItem xmlns:ds="http://schemas.openxmlformats.org/officeDocument/2006/customXml" ds:itemID="{A20C77CE-CC40-45E6-853A-CA286C0C582A}">
  <ds:schemaRefs>
    <ds:schemaRef ds:uri="http://schemas.microsoft.com/sharepoint/v3/contenttype/forms"/>
  </ds:schemaRefs>
</ds:datastoreItem>
</file>

<file path=customXml/itemProps3.xml><?xml version="1.0" encoding="utf-8"?>
<ds:datastoreItem xmlns:ds="http://schemas.openxmlformats.org/officeDocument/2006/customXml" ds:itemID="{CDF656C9-689A-4FDD-B022-F0BEC1BC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39663-D7D7-40A3-A7EA-F86BD9ED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3360</Words>
  <Characters>17947</Characters>
  <Application>Microsoft Office Word</Application>
  <DocSecurity>0</DocSecurity>
  <Lines>448</Lines>
  <Paragraphs>143</Paragraphs>
  <ScaleCrop>false</ScaleCrop>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Omonuwa</dc:creator>
  <cp:keywords/>
  <dc:description/>
  <cp:lastModifiedBy>Alberto Rodriguez</cp:lastModifiedBy>
  <cp:revision>99</cp:revision>
  <dcterms:created xsi:type="dcterms:W3CDTF">2023-11-21T22:48:00Z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MediaServiceImageTags">
    <vt:lpwstr/>
  </property>
  <property fmtid="{D5CDD505-2E9C-101B-9397-08002B2CF9AE}" pid="4" name="GrammarlyDocumentId">
    <vt:lpwstr>8c4aec9f3790d4f6f697e309699cc88fb7fae5698b9b77f2e4e221605858fec0</vt:lpwstr>
  </property>
  <property fmtid="{D5CDD505-2E9C-101B-9397-08002B2CF9AE}" pid="5" name="Order">
    <vt:r8>99900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