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FC2B" w14:textId="6C745132" w:rsidR="004B0CAD" w:rsidRPr="004B0CAD" w:rsidRDefault="004B0CAD" w:rsidP="00CC0CF0">
      <w:pPr>
        <w:rPr>
          <w:rFonts w:ascii="Arial" w:eastAsia="Arial" w:hAnsi="Arial" w:cs="Arial"/>
          <w:b/>
          <w:color w:val="4472C4" w:themeColor="accent1"/>
          <w:u w:val="single"/>
        </w:rPr>
      </w:pPr>
      <w:r w:rsidRPr="004B0CAD">
        <w:rPr>
          <w:rFonts w:ascii="Arial" w:eastAsia="Arial" w:hAnsi="Arial" w:cs="Arial"/>
          <w:b/>
          <w:color w:val="4472C4" w:themeColor="accent1"/>
          <w:u w:val="single"/>
        </w:rPr>
        <w:t>Case Study: Boulder</w:t>
      </w:r>
    </w:p>
    <w:p w14:paraId="7528E124" w14:textId="0D3B1205" w:rsidR="00BE3BB1" w:rsidRPr="00CC0CF0" w:rsidRDefault="00BE3BB1" w:rsidP="00CC0CF0">
      <w:pPr>
        <w:rPr>
          <w:i/>
          <w:iCs/>
          <w:color w:val="4472C4" w:themeColor="accent1"/>
        </w:rPr>
      </w:pPr>
      <w:r w:rsidRPr="00CC0CF0">
        <w:rPr>
          <w:rFonts w:ascii="Arial" w:eastAsia="Arial" w:hAnsi="Arial" w:cs="Arial"/>
          <w:color w:val="4472C4" w:themeColor="accent1"/>
        </w:rPr>
        <w:t>Boulder implemented efficiency standards for long-term rentals. They have a short-term rental licensing program, but do not currently implement efficiency requirements because the program was recently established in 2016, and people are more likely to own these homes and keep them comfortable and efficient.</w:t>
      </w:r>
    </w:p>
    <w:p w14:paraId="212CCAE4" w14:textId="288E9F48" w:rsidR="00CC0CF0" w:rsidRPr="00CC0CF0" w:rsidRDefault="00CC0CF0" w:rsidP="00CC0CF0">
      <w:pPr>
        <w:rPr>
          <w:rFonts w:ascii="Arial" w:eastAsia="Arial" w:hAnsi="Arial" w:cs="Arial"/>
          <w:i/>
          <w:color w:val="4472C4" w:themeColor="accent1"/>
        </w:rPr>
      </w:pPr>
      <w:r w:rsidRPr="00CC0CF0">
        <w:rPr>
          <w:rFonts w:ascii="Arial" w:eastAsia="Arial" w:hAnsi="Arial" w:cs="Arial"/>
          <w:i/>
          <w:color w:val="4472C4" w:themeColor="accent1"/>
        </w:rPr>
        <w:t>Financing</w:t>
      </w:r>
    </w:p>
    <w:p w14:paraId="365608B2" w14:textId="480FCCB3" w:rsidR="005A20E5" w:rsidRPr="00CC0CF0" w:rsidRDefault="005A20E5" w:rsidP="00CC0CF0">
      <w:pPr>
        <w:rPr>
          <w:color w:val="FFC000" w:themeColor="accent4"/>
        </w:rPr>
      </w:pPr>
      <w:r w:rsidRPr="00CC0CF0">
        <w:rPr>
          <w:rFonts w:ascii="Arial" w:eastAsia="Arial" w:hAnsi="Arial" w:cs="Arial"/>
          <w:color w:val="4472C4" w:themeColor="accent1"/>
        </w:rPr>
        <w:t xml:space="preserve">Boulder worked with the local utility to take advantage of existing utility incentives. The City of Boulder offered direct installation of free energy efficiency measures and supplemented existing incentives. Boulder County created an energy loan that the county supports with a loan loss reserve through </w:t>
      </w:r>
      <w:proofErr w:type="spellStart"/>
      <w:r w:rsidRPr="00CC0CF0">
        <w:rPr>
          <w:rFonts w:ascii="Arial" w:eastAsia="Arial" w:hAnsi="Arial" w:cs="Arial"/>
          <w:color w:val="4472C4" w:themeColor="accent1"/>
        </w:rPr>
        <w:t>EnergySmart</w:t>
      </w:r>
      <w:proofErr w:type="spellEnd"/>
      <w:r w:rsidRPr="00CC0CF0">
        <w:rPr>
          <w:rFonts w:ascii="Arial" w:eastAsia="Arial" w:hAnsi="Arial" w:cs="Arial"/>
          <w:color w:val="4472C4" w:themeColor="accent1"/>
        </w:rPr>
        <w:t xml:space="preserve">. </w:t>
      </w:r>
    </w:p>
    <w:p w14:paraId="151E5782" w14:textId="42749B5E" w:rsidR="00CC0CF0" w:rsidRPr="00CC0CF0" w:rsidRDefault="00CC0CF0" w:rsidP="00CC0CF0">
      <w:pPr>
        <w:rPr>
          <w:rFonts w:ascii="Arial" w:eastAsia="Arial" w:hAnsi="Arial" w:cs="Arial"/>
          <w:i/>
          <w:color w:val="4472C4" w:themeColor="accent1"/>
        </w:rPr>
      </w:pPr>
      <w:r w:rsidRPr="00CC0CF0">
        <w:rPr>
          <w:rFonts w:ascii="Arial" w:eastAsia="Arial" w:hAnsi="Arial" w:cs="Arial"/>
          <w:i/>
          <w:color w:val="4472C4" w:themeColor="accent1"/>
        </w:rPr>
        <w:t>Stakeholder Engagement</w:t>
      </w:r>
    </w:p>
    <w:p w14:paraId="3F953921" w14:textId="740C40C9" w:rsidR="005E7134" w:rsidRPr="00CC0CF0" w:rsidRDefault="005E7134" w:rsidP="00CC0CF0">
      <w:pPr>
        <w:rPr>
          <w:color w:val="FFC000" w:themeColor="accent4"/>
        </w:rPr>
      </w:pPr>
      <w:r w:rsidRPr="00CC0CF0">
        <w:rPr>
          <w:rFonts w:ascii="Arial" w:eastAsia="Arial" w:hAnsi="Arial" w:cs="Arial"/>
          <w:color w:val="4472C4" w:themeColor="accent1"/>
        </w:rPr>
        <w:t>The City of Boulder consulted with the Boulder Area Rental Housing Association. This helped the city to design financing mechanisms that aligned with the needs of property owners and helped shape the compliance timeline and efficiency goals.</w:t>
      </w:r>
    </w:p>
    <w:p w14:paraId="025F78DF" w14:textId="3737B648" w:rsidR="00CC0CF0" w:rsidRPr="00CC0CF0" w:rsidRDefault="00CC0CF0" w:rsidP="00CC0CF0">
      <w:pPr>
        <w:rPr>
          <w:rFonts w:ascii="Arial" w:eastAsia="Arial" w:hAnsi="Arial" w:cs="Arial"/>
          <w:i/>
          <w:color w:val="4472C4" w:themeColor="accent1"/>
        </w:rPr>
      </w:pPr>
      <w:r w:rsidRPr="00CC0CF0">
        <w:rPr>
          <w:rFonts w:ascii="Arial" w:eastAsia="Arial" w:hAnsi="Arial" w:cs="Arial"/>
          <w:i/>
          <w:color w:val="4472C4" w:themeColor="accent1"/>
        </w:rPr>
        <w:t>Policy Design</w:t>
      </w:r>
    </w:p>
    <w:p w14:paraId="46EC5778" w14:textId="5E3F921E" w:rsidR="0081549D" w:rsidRDefault="0081549D" w:rsidP="00CC0CF0">
      <w:pPr>
        <w:rPr>
          <w:rFonts w:ascii="Arial" w:eastAsia="Arial" w:hAnsi="Arial" w:cs="Arial"/>
          <w:color w:val="4472C4" w:themeColor="accent1"/>
        </w:rPr>
      </w:pPr>
      <w:r w:rsidRPr="00CC0CF0">
        <w:rPr>
          <w:rFonts w:ascii="Arial" w:eastAsia="Arial" w:hAnsi="Arial" w:cs="Arial"/>
          <w:color w:val="4472C4" w:themeColor="accent1"/>
        </w:rPr>
        <w:t xml:space="preserve">Boulder created a prescriptive path that used a custom checklist and a performance-based path that used the HERS checklist for property owners. It is important to make sure to update custom checklists. Boulder’s checklist was developed before the city implemented electrification goals, and as a result, the current strategy disincentivizes electric hot water and space heating. </w:t>
      </w:r>
    </w:p>
    <w:p w14:paraId="47D576BE" w14:textId="7A612248" w:rsidR="00CC0CF0" w:rsidRPr="00CC0CF0" w:rsidRDefault="00CC0CF0" w:rsidP="00CC0CF0">
      <w:pPr>
        <w:rPr>
          <w:rFonts w:ascii="Arial" w:eastAsia="Arial" w:hAnsi="Arial" w:cs="Arial"/>
          <w:i/>
          <w:color w:val="4472C4" w:themeColor="accent1"/>
        </w:rPr>
      </w:pPr>
      <w:r w:rsidRPr="00CC0CF0">
        <w:rPr>
          <w:rFonts w:ascii="Arial" w:eastAsia="Arial" w:hAnsi="Arial" w:cs="Arial"/>
          <w:i/>
          <w:color w:val="4472C4" w:themeColor="accent1"/>
        </w:rPr>
        <w:t>Compliance</w:t>
      </w:r>
    </w:p>
    <w:p w14:paraId="3E3865A5" w14:textId="049EBAFF" w:rsidR="004525D5" w:rsidRDefault="004525D5" w:rsidP="00CC0CF0">
      <w:pPr>
        <w:rPr>
          <w:rFonts w:ascii="Arial" w:eastAsia="Arial" w:hAnsi="Arial" w:cs="Arial"/>
          <w:color w:val="4472C4" w:themeColor="accent1"/>
        </w:rPr>
      </w:pPr>
      <w:r w:rsidRPr="00CC0CF0">
        <w:rPr>
          <w:rFonts w:ascii="Arial" w:eastAsia="Arial" w:hAnsi="Arial" w:cs="Arial"/>
          <w:color w:val="4472C4" w:themeColor="accent1"/>
        </w:rPr>
        <w:t xml:space="preserve">The City of Boulder has fines in place for rentals that operate without a rental license. It has exemptions for mobile homes, units built after 2001, and units that participated in the weatherization program. </w:t>
      </w:r>
      <w:r w:rsidR="004B0CAD">
        <w:rPr>
          <w:rFonts w:ascii="Arial" w:eastAsia="Arial" w:hAnsi="Arial" w:cs="Arial"/>
          <w:color w:val="4472C4" w:themeColor="accent1"/>
        </w:rPr>
        <w:t xml:space="preserve">Other cities have different approaches to ensuring compliance. </w:t>
      </w:r>
    </w:p>
    <w:p w14:paraId="38FC90CA" w14:textId="2D401960" w:rsidR="00885B28" w:rsidRDefault="00885B28" w:rsidP="00885B28">
      <w:pPr>
        <w:spacing w:after="0"/>
        <w:rPr>
          <w:rFonts w:ascii="Arial" w:eastAsia="Arial" w:hAnsi="Arial" w:cs="Arial"/>
          <w:color w:val="4472C4" w:themeColor="accent1"/>
        </w:rPr>
      </w:pPr>
      <w:r w:rsidRPr="00885B28">
        <w:rPr>
          <w:rFonts w:ascii="Arial" w:eastAsia="Arial" w:hAnsi="Arial" w:cs="Arial"/>
          <w:color w:val="4472C4" w:themeColor="accent1"/>
        </w:rPr>
        <w:t xml:space="preserve">The City of Ann Arbor, Michigan allows property owners that pay for the tenant's utility heat bills to be exempted from meeting energy efficiency standards because this avoids the split incentive problem. </w:t>
      </w:r>
    </w:p>
    <w:p w14:paraId="0F1A347F" w14:textId="7B5C9D96" w:rsidR="00885B28" w:rsidRDefault="00885B28" w:rsidP="00885B28">
      <w:pPr>
        <w:spacing w:after="0"/>
        <w:rPr>
          <w:rFonts w:ascii="Arial" w:eastAsia="Arial" w:hAnsi="Arial" w:cs="Arial"/>
          <w:color w:val="4472C4" w:themeColor="accent1"/>
        </w:rPr>
      </w:pPr>
    </w:p>
    <w:p w14:paraId="2B167F33" w14:textId="518C4715" w:rsidR="00885B28" w:rsidRPr="00885B28" w:rsidRDefault="00885B28" w:rsidP="00885B28">
      <w:pPr>
        <w:spacing w:after="0"/>
        <w:rPr>
          <w:color w:val="4472C4" w:themeColor="accent1"/>
        </w:rPr>
      </w:pPr>
      <w:r w:rsidRPr="00885B28">
        <w:rPr>
          <w:rFonts w:ascii="Arial" w:eastAsia="Arial" w:hAnsi="Arial" w:cs="Arial"/>
          <w:color w:val="4472C4" w:themeColor="accent1"/>
        </w:rPr>
        <w:t xml:space="preserve">The City of Burlington, Vermont, developed cost-effectiveness limitations and a total cost cap for efficiency standards for rentals triggered at time of sale. Energy efficiency measures could not have greater than a seven-year payback and could not exceed the lesser of $1,300 or 3 percent of the sale price of the property listed on the property transfer tax return. Cities can use cost caps to ensure that property owners have a maximum threshold to how much they must spend to comply with the policy </w:t>
      </w:r>
    </w:p>
    <w:p w14:paraId="4DDC07E7" w14:textId="75BD1C09" w:rsidR="00885B28" w:rsidRPr="00CC0CF0" w:rsidRDefault="00885B28" w:rsidP="00CC0CF0">
      <w:pPr>
        <w:rPr>
          <w:color w:val="4472C4" w:themeColor="accent1"/>
        </w:rPr>
      </w:pPr>
    </w:p>
    <w:p w14:paraId="7E3515F0" w14:textId="0EC16664" w:rsidR="00CC0CF0" w:rsidRPr="00CC0CF0" w:rsidRDefault="00CC0CF0" w:rsidP="00CC0CF0">
      <w:pPr>
        <w:rPr>
          <w:rFonts w:ascii="Arial" w:eastAsia="Arial" w:hAnsi="Arial" w:cs="Arial"/>
          <w:i/>
          <w:color w:val="4472C4" w:themeColor="accent1"/>
        </w:rPr>
      </w:pPr>
      <w:r w:rsidRPr="00CC0CF0">
        <w:rPr>
          <w:rFonts w:ascii="Arial" w:eastAsia="Arial" w:hAnsi="Arial" w:cs="Arial"/>
          <w:i/>
          <w:color w:val="4472C4" w:themeColor="accent1"/>
        </w:rPr>
        <w:t>Administration</w:t>
      </w:r>
    </w:p>
    <w:p w14:paraId="1B2D351A" w14:textId="0426AC1E" w:rsidR="008A425C" w:rsidRPr="004B0CAD" w:rsidRDefault="00224A2A">
      <w:pPr>
        <w:rPr>
          <w:rFonts w:ascii="Arial" w:eastAsia="Arial" w:hAnsi="Arial" w:cs="Arial"/>
          <w:color w:val="4472C4" w:themeColor="accent1"/>
        </w:rPr>
      </w:pPr>
      <w:r w:rsidRPr="00CC0CF0">
        <w:rPr>
          <w:rFonts w:ascii="Arial" w:eastAsia="Arial" w:hAnsi="Arial" w:cs="Arial"/>
          <w:color w:val="4472C4" w:themeColor="accent1"/>
        </w:rPr>
        <w:t xml:space="preserve">As the program matures, Boulder continues to understand additional benefits that communities could reap from this type of program. The </w:t>
      </w:r>
      <w:proofErr w:type="spellStart"/>
      <w:r w:rsidRPr="00CC0CF0">
        <w:rPr>
          <w:rFonts w:ascii="Arial" w:eastAsia="Arial" w:hAnsi="Arial" w:cs="Arial"/>
          <w:color w:val="4472C4" w:themeColor="accent1"/>
        </w:rPr>
        <w:t>SmartRegs</w:t>
      </w:r>
      <w:proofErr w:type="spellEnd"/>
      <w:r w:rsidRPr="00CC0CF0">
        <w:rPr>
          <w:rFonts w:ascii="Arial" w:eastAsia="Arial" w:hAnsi="Arial" w:cs="Arial"/>
          <w:color w:val="4472C4" w:themeColor="accent1"/>
        </w:rPr>
        <w:t xml:space="preserve"> program serves as an inclusionary and affordable housing program, which provides renters with low to moderate incomes a safeguard for stabilizing utility costs. It has also increased both tenant and property owner awareness of energy efficient housing opportunities. </w:t>
      </w:r>
      <w:bookmarkStart w:id="0" w:name="_GoBack"/>
      <w:bookmarkEnd w:id="0"/>
    </w:p>
    <w:sectPr w:rsidR="008A425C" w:rsidRPr="004B0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B5A29"/>
    <w:multiLevelType w:val="hybridMultilevel"/>
    <w:tmpl w:val="6FA805C6"/>
    <w:lvl w:ilvl="0" w:tplc="12A00988">
      <w:start w:val="1"/>
      <w:numFmt w:val="bullet"/>
      <w:lvlText w:val=""/>
      <w:lvlJc w:val="left"/>
      <w:pPr>
        <w:ind w:left="720" w:hanging="360"/>
      </w:pPr>
      <w:rPr>
        <w:rFonts w:ascii="Symbol" w:hAnsi="Symbol" w:hint="default"/>
      </w:rPr>
    </w:lvl>
    <w:lvl w:ilvl="1" w:tplc="2774FABC">
      <w:start w:val="1"/>
      <w:numFmt w:val="bullet"/>
      <w:lvlText w:val=""/>
      <w:lvlJc w:val="left"/>
      <w:pPr>
        <w:ind w:left="1440" w:hanging="360"/>
      </w:pPr>
      <w:rPr>
        <w:rFonts w:ascii="Symbol" w:hAnsi="Symbol" w:hint="default"/>
      </w:rPr>
    </w:lvl>
    <w:lvl w:ilvl="2" w:tplc="9F228B96">
      <w:start w:val="1"/>
      <w:numFmt w:val="bullet"/>
      <w:lvlText w:val=""/>
      <w:lvlJc w:val="left"/>
      <w:pPr>
        <w:ind w:left="2160" w:hanging="360"/>
      </w:pPr>
      <w:rPr>
        <w:rFonts w:ascii="Symbol" w:hAnsi="Symbol" w:hint="default"/>
      </w:rPr>
    </w:lvl>
    <w:lvl w:ilvl="3" w:tplc="5B24EF18">
      <w:start w:val="1"/>
      <w:numFmt w:val="bullet"/>
      <w:lvlText w:val=""/>
      <w:lvlJc w:val="left"/>
      <w:pPr>
        <w:ind w:left="2880" w:hanging="360"/>
      </w:pPr>
      <w:rPr>
        <w:rFonts w:ascii="Symbol" w:hAnsi="Symbol" w:hint="default"/>
      </w:rPr>
    </w:lvl>
    <w:lvl w:ilvl="4" w:tplc="27463362">
      <w:start w:val="1"/>
      <w:numFmt w:val="bullet"/>
      <w:lvlText w:val="o"/>
      <w:lvlJc w:val="left"/>
      <w:pPr>
        <w:ind w:left="3600" w:hanging="360"/>
      </w:pPr>
      <w:rPr>
        <w:rFonts w:ascii="Courier New" w:hAnsi="Courier New" w:hint="default"/>
      </w:rPr>
    </w:lvl>
    <w:lvl w:ilvl="5" w:tplc="89AC08A0">
      <w:start w:val="1"/>
      <w:numFmt w:val="bullet"/>
      <w:lvlText w:val=""/>
      <w:lvlJc w:val="left"/>
      <w:pPr>
        <w:ind w:left="4320" w:hanging="360"/>
      </w:pPr>
      <w:rPr>
        <w:rFonts w:ascii="Wingdings" w:hAnsi="Wingdings" w:hint="default"/>
      </w:rPr>
    </w:lvl>
    <w:lvl w:ilvl="6" w:tplc="4A063922">
      <w:start w:val="1"/>
      <w:numFmt w:val="bullet"/>
      <w:lvlText w:val=""/>
      <w:lvlJc w:val="left"/>
      <w:pPr>
        <w:ind w:left="5040" w:hanging="360"/>
      </w:pPr>
      <w:rPr>
        <w:rFonts w:ascii="Symbol" w:hAnsi="Symbol" w:hint="default"/>
      </w:rPr>
    </w:lvl>
    <w:lvl w:ilvl="7" w:tplc="5D308A68">
      <w:start w:val="1"/>
      <w:numFmt w:val="bullet"/>
      <w:lvlText w:val="o"/>
      <w:lvlJc w:val="left"/>
      <w:pPr>
        <w:ind w:left="5760" w:hanging="360"/>
      </w:pPr>
      <w:rPr>
        <w:rFonts w:ascii="Courier New" w:hAnsi="Courier New" w:hint="default"/>
      </w:rPr>
    </w:lvl>
    <w:lvl w:ilvl="8" w:tplc="35882EF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B1"/>
    <w:rsid w:val="00224A2A"/>
    <w:rsid w:val="002D3029"/>
    <w:rsid w:val="004525D5"/>
    <w:rsid w:val="004B0CAD"/>
    <w:rsid w:val="005A20E5"/>
    <w:rsid w:val="005E7134"/>
    <w:rsid w:val="0081549D"/>
    <w:rsid w:val="00885B28"/>
    <w:rsid w:val="008A425C"/>
    <w:rsid w:val="00BE3BB1"/>
    <w:rsid w:val="00C81655"/>
    <w:rsid w:val="00CC0CF0"/>
    <w:rsid w:val="00D2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5CCB"/>
  <w15:chartTrackingRefBased/>
  <w15:docId w15:val="{63B7D826-B899-46B3-BD92-A3606459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BB1"/>
    <w:pPr>
      <w:ind w:left="720"/>
      <w:contextualSpacing/>
    </w:pPr>
  </w:style>
  <w:style w:type="character" w:styleId="CommentReference">
    <w:name w:val="annotation reference"/>
    <w:basedOn w:val="DefaultParagraphFont"/>
    <w:uiPriority w:val="99"/>
    <w:semiHidden/>
    <w:unhideWhenUsed/>
    <w:rsid w:val="00BE3BB1"/>
    <w:rPr>
      <w:sz w:val="16"/>
      <w:szCs w:val="16"/>
    </w:rPr>
  </w:style>
  <w:style w:type="paragraph" w:styleId="CommentText">
    <w:name w:val="annotation text"/>
    <w:basedOn w:val="Normal"/>
    <w:link w:val="CommentTextChar"/>
    <w:uiPriority w:val="99"/>
    <w:unhideWhenUsed/>
    <w:rsid w:val="00BE3BB1"/>
    <w:pPr>
      <w:spacing w:line="240" w:lineRule="auto"/>
    </w:pPr>
    <w:rPr>
      <w:sz w:val="20"/>
      <w:szCs w:val="20"/>
    </w:rPr>
  </w:style>
  <w:style w:type="character" w:customStyle="1" w:styleId="CommentTextChar">
    <w:name w:val="Comment Text Char"/>
    <w:basedOn w:val="DefaultParagraphFont"/>
    <w:link w:val="CommentText"/>
    <w:uiPriority w:val="99"/>
    <w:rsid w:val="00BE3BB1"/>
    <w:rPr>
      <w:sz w:val="20"/>
      <w:szCs w:val="20"/>
    </w:rPr>
  </w:style>
  <w:style w:type="paragraph" w:styleId="BalloonText">
    <w:name w:val="Balloon Text"/>
    <w:basedOn w:val="Normal"/>
    <w:link w:val="BalloonTextChar"/>
    <w:uiPriority w:val="99"/>
    <w:semiHidden/>
    <w:unhideWhenUsed/>
    <w:rsid w:val="00BE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8ca830c-a034-4168-b956-d7763e68b615" ContentTypeId="0x010100C2CFE70F12B8554A80D65BC4AE2EF620" PreviousValue="false"/>
</file>

<file path=customXml/item3.xml><?xml version="1.0" encoding="utf-8"?>
<ct:contentTypeSchema xmlns:ct="http://schemas.microsoft.com/office/2006/metadata/contentType" xmlns:ma="http://schemas.microsoft.com/office/2006/metadata/properties/metaAttributes" ct:_="" ma:_="" ma:contentTypeName="Program Document" ma:contentTypeID="0x010100C2CFE70F12B8554A80D65BC4AE2EF6200004246E0A8545D448AFC4ACE59685184B" ma:contentTypeVersion="24" ma:contentTypeDescription="" ma:contentTypeScope="" ma:versionID="e2ea3cfe515d355403283200da3e702a">
  <xsd:schema xmlns:xsd="http://www.w3.org/2001/XMLSchema" xmlns:xs="http://www.w3.org/2001/XMLSchema" xmlns:p="http://schemas.microsoft.com/office/2006/metadata/properties" xmlns:ns2="a1df9832-fa29-4d0b-8301-c5ccf72ca850" targetNamespace="http://schemas.microsoft.com/office/2006/metadata/properties" ma:root="true" ma:fieldsID="86a016c7c74fed2ccd505990cef97493" ns2:_="">
    <xsd:import namespace="a1df9832-fa29-4d0b-8301-c5ccf72ca850"/>
    <xsd:element name="properties">
      <xsd:complexType>
        <xsd:sequence>
          <xsd:element name="documentManagement">
            <xsd:complexType>
              <xsd:all>
                <xsd:element ref="ns2:l9283ed5dc164381a5df9e58c4c717b4" minOccurs="0"/>
                <xsd:element ref="ns2:i44d58dc1cf74c3bb0600f75e80272a0" minOccurs="0"/>
                <xsd:element ref="ns2:k7031f0ddbec44908666ccec4dca0b46" minOccurs="0"/>
                <xsd:element ref="ns2:m26e38606aa543cb981614fc6d49280d" minOccurs="0"/>
                <xsd:element ref="ns2:n48685bf95bc4b8fa4aa6bfb34ecb222" minOccurs="0"/>
                <xsd:element ref="ns2:TaxCatchAll" minOccurs="0"/>
                <xsd:element ref="ns2:eda3356070224fe59cf39745c882f8c6" minOccurs="0"/>
                <xsd:element ref="ns2:n748466ce81f4d068bd498403e1ecc4b" minOccurs="0"/>
                <xsd:element ref="ns2:TaxCatchAllLabel" minOccurs="0"/>
                <xsd:element ref="ns2:n886c46fede847c080398018f40c4c47"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l9283ed5dc164381a5df9e58c4c717b4" ma:index="10" nillable="true" ma:taxonomy="true" ma:internalName="l9283ed5dc164381a5df9e58c4c717b4" ma:taxonomyFieldName="Industry" ma:displayName="Industry" ma:default="" ma:fieldId="{59283ed5-dc16-4381-a5df-9e58c4c717b4}" ma:sspId="78ca830c-a034-4168-b956-d7763e68b615" ma:termSetId="4705ca40-a9fc-4979-9eeb-55a86f788a8c" ma:anchorId="00000000-0000-0000-0000-000000000000" ma:open="false" ma:isKeyword="false">
      <xsd:complexType>
        <xsd:sequence>
          <xsd:element ref="pc:Terms" minOccurs="0" maxOccurs="1"/>
        </xsd:sequence>
      </xsd:complexType>
    </xsd:element>
    <xsd:element name="i44d58dc1cf74c3bb0600f75e80272a0" ma:index="12" nillable="true" ma:taxonomy="true" ma:internalName="i44d58dc1cf74c3bb0600f75e80272a0" ma:taxonomyFieldName="Geography" ma:displayName="Geography" ma:default="" ma:fieldId="{244d58dc-1cf7-4c3b-b060-0f75e80272a0}" ma:sspId="78ca830c-a034-4168-b956-d7763e68b615" ma:termSetId="28a1c660-2861-4b3d-a4b7-c19d748b4d8c" ma:anchorId="00000000-0000-0000-0000-000000000000" ma:open="false" ma:isKeyword="false">
      <xsd:complexType>
        <xsd:sequence>
          <xsd:element ref="pc:Terms" minOccurs="0" maxOccurs="1"/>
        </xsd:sequence>
      </xsd:complexType>
    </xsd:element>
    <xsd:element name="k7031f0ddbec44908666ccec4dca0b46" ma:index="14" nillable="true" ma:taxonomy="true" ma:internalName="k7031f0ddbec44908666ccec4dca0b46" ma:taxonomyFieldName="Client_x0020_Partner" ma:displayName="Client Partner" ma:readOnly="false" ma:default="" ma:fieldId="{47031f0d-dbec-4490-8666-ccec4dca0b46}" ma:sspId="78ca830c-a034-4168-b956-d7763e68b615" ma:termSetId="2fdb8ad4-2b2b-419a-bd90-93be715ccb67" ma:anchorId="00000000-0000-0000-0000-000000000000" ma:open="false" ma:isKeyword="false">
      <xsd:complexType>
        <xsd:sequence>
          <xsd:element ref="pc:Terms" minOccurs="0" maxOccurs="1"/>
        </xsd:sequence>
      </xsd:complexType>
    </xsd:element>
    <xsd:element name="m26e38606aa543cb981614fc6d49280d" ma:index="16" nillable="true" ma:taxonomy="true" ma:internalName="m26e38606aa543cb981614fc6d49280d" ma:taxonomyFieldName="Technology" ma:displayName="Technology" ma:readOnly="false" ma:default="" ma:fieldId="{626e3860-6aa5-43cb-9816-14fc6d49280d}"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n48685bf95bc4b8fa4aa6bfb34ecb222" ma:index="17" nillable="true" ma:taxonomy="true" ma:internalName="n48685bf95bc4b8fa4aa6bfb34ecb222" ma:taxonomyFieldName="Program" ma:displayName="Program" ma:readOnly="false" ma:default="-1;#Buildings|6d5332a4-270e-4d3f-9006-80a36a781c0d" ma:fieldId="{748685bf-95bc-4b8f-a4aa-6bfb34ecb222}"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12e23ad0-6dd8-4afb-afa4-0876b6985e5d}" ma:internalName="TaxCatchAll" ma:showField="CatchAllData" ma:web="24295c53-8441-4ad1-8ffa-c268c72b1660">
      <xsd:complexType>
        <xsd:complexContent>
          <xsd:extension base="dms:MultiChoiceLookup">
            <xsd:sequence>
              <xsd:element name="Value" type="dms:Lookup" maxOccurs="unbounded" minOccurs="0" nillable="true"/>
            </xsd:sequence>
          </xsd:extension>
        </xsd:complexContent>
      </xsd:complexType>
    </xsd:element>
    <xsd:element name="eda3356070224fe59cf39745c882f8c6" ma:index="19" nillable="true" ma:taxonomy="true" ma:internalName="eda3356070224fe59cf39745c882f8c6" ma:taxonomyFieldName="Initiative" ma:displayName="Initiative" ma:readOnly="false" ma:default="-1;#BLD - Residential Energy +|8baa4d84-f460-40fd-90d3-b2fd3e52be24" ma:fieldId="{eda33560-7022-4fe5-9cf3-9745c882f8c6}"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n748466ce81f4d068bd498403e1ecc4b" ma:index="21" nillable="true" ma:taxonomy="true" ma:internalName="n748466ce81f4d068bd498403e1ecc4b" ma:taxonomyFieldName="Projects" ma:displayName="Projects" ma:readOnly="false" ma:default="-1;#City Policy|29fcb9e1-67af-4ea4-aa92-d5d2f0be98ac" ma:fieldId="{7748466c-e81f-4d06-8bd4-98403e1ecc4b}" ma:taxonomyMulti="true" ma:sspId="78ca830c-a034-4168-b956-d7763e68b615" ma:termSetId="1ca03fc9-8c6d-48e1-924a-9e9a18db759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12e23ad0-6dd8-4afb-afa4-0876b6985e5d}" ma:internalName="TaxCatchAllLabel" ma:readOnly="true" ma:showField="CatchAllDataLabel" ma:web="24295c53-8441-4ad1-8ffa-c268c72b1660">
      <xsd:complexType>
        <xsd:complexContent>
          <xsd:extension base="dms:MultiChoiceLookup">
            <xsd:sequence>
              <xsd:element name="Value" type="dms:Lookup" maxOccurs="unbounded" minOccurs="0" nillable="true"/>
            </xsd:sequence>
          </xsd:extension>
        </xsd:complexContent>
      </xsd:complexType>
    </xsd:element>
    <xsd:element name="n886c46fede847c080398018f40c4c47" ma:index="24" nillable="true" ma:taxonomy="true" ma:internalName="n886c46fede847c080398018f40c4c47" ma:taxonomyFieldName="Foundation" ma:displayName="Foundation" ma:readOnly="false" ma:default="" ma:fieldId="{7886c46f-ede8-47c0-8039-8018f40c4c47}" ma:sspId="78ca830c-a034-4168-b956-d7763e68b615" ma:termSetId="f178076e-94ff-44a9-8c37-04cfc45bd495" ma:anchorId="00000000-0000-0000-0000-000000000000" ma:open="false" ma:isKeyword="false">
      <xsd:complexType>
        <xsd:sequence>
          <xsd:element ref="pc:Terms" minOccurs="0" maxOccurs="1"/>
        </xsd:sequence>
      </xsd:complexType>
    </xsd:element>
    <xsd:element name="TaxKeywordTaxHTField" ma:index="26" nillable="true" ma:taxonomy="true" ma:internalName="TaxKeywordTaxHTField" ma:taxonomyFieldName="TaxKeyword" ma:displayName="Enterprise Keywords" ma:fieldId="{23f27201-bee3-471e-b2e7-b64fd8b7ca38}" ma:taxonomyMulti="true" ma:sspId="78ca830c-a034-4168-b956-d7763e68b6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44d58dc1cf74c3bb0600f75e80272a0 xmlns="a1df9832-fa29-4d0b-8301-c5ccf72ca850">
      <Terms xmlns="http://schemas.microsoft.com/office/infopath/2007/PartnerControls"/>
    </i44d58dc1cf74c3bb0600f75e80272a0>
    <TaxCatchAll xmlns="a1df9832-fa29-4d0b-8301-c5ccf72ca850">
      <Value>202</Value>
      <Value>2</Value>
      <Value>1</Value>
    </TaxCatchAll>
    <TaxKeywordTaxHTField xmlns="a1df9832-fa29-4d0b-8301-c5ccf72ca850">
      <Terms xmlns="http://schemas.microsoft.com/office/infopath/2007/PartnerControls"/>
    </TaxKeywordTaxHTField>
    <n748466ce81f4d068bd498403e1ecc4b xmlns="a1df9832-fa29-4d0b-8301-c5ccf72ca850">
      <Terms xmlns="http://schemas.microsoft.com/office/infopath/2007/PartnerControls">
        <TermInfo xmlns="http://schemas.microsoft.com/office/infopath/2007/PartnerControls">
          <TermName xmlns="http://schemas.microsoft.com/office/infopath/2007/PartnerControls">City Policy</TermName>
          <TermId xmlns="http://schemas.microsoft.com/office/infopath/2007/PartnerControls">29fcb9e1-67af-4ea4-aa92-d5d2f0be98ac</TermId>
        </TermInfo>
      </Terms>
    </n748466ce81f4d068bd498403e1ecc4b>
    <l9283ed5dc164381a5df9e58c4c717b4 xmlns="a1df9832-fa29-4d0b-8301-c5ccf72ca850">
      <Terms xmlns="http://schemas.microsoft.com/office/infopath/2007/PartnerControls"/>
    </l9283ed5dc164381a5df9e58c4c717b4>
    <k7031f0ddbec44908666ccec4dca0b46 xmlns="a1df9832-fa29-4d0b-8301-c5ccf72ca850">
      <Terms xmlns="http://schemas.microsoft.com/office/infopath/2007/PartnerControls"/>
    </k7031f0ddbec44908666ccec4dca0b46>
    <m26e38606aa543cb981614fc6d49280d xmlns="a1df9832-fa29-4d0b-8301-c5ccf72ca850">
      <Terms xmlns="http://schemas.microsoft.com/office/infopath/2007/PartnerControls"/>
    </m26e38606aa543cb981614fc6d49280d>
    <n886c46fede847c080398018f40c4c47 xmlns="a1df9832-fa29-4d0b-8301-c5ccf72ca850">
      <Terms xmlns="http://schemas.microsoft.com/office/infopath/2007/PartnerControls"/>
    </n886c46fede847c080398018f40c4c47>
    <n48685bf95bc4b8fa4aa6bfb34ecb222 xmlns="a1df9832-fa29-4d0b-8301-c5ccf72ca850">
      <Terms xmlns="http://schemas.microsoft.com/office/infopath/2007/PartnerControls">
        <TermInfo xmlns="http://schemas.microsoft.com/office/infopath/2007/PartnerControls">
          <TermName xmlns="http://schemas.microsoft.com/office/infopath/2007/PartnerControls">Buildings</TermName>
          <TermId xmlns="http://schemas.microsoft.com/office/infopath/2007/PartnerControls">6d5332a4-270e-4d3f-9006-80a36a781c0d</TermId>
        </TermInfo>
      </Terms>
    </n48685bf95bc4b8fa4aa6bfb34ecb222>
    <eda3356070224fe59cf39745c882f8c6 xmlns="a1df9832-fa29-4d0b-8301-c5ccf72ca850">
      <Terms xmlns="http://schemas.microsoft.com/office/infopath/2007/PartnerControls">
        <TermInfo xmlns="http://schemas.microsoft.com/office/infopath/2007/PartnerControls">
          <TermName xmlns="http://schemas.microsoft.com/office/infopath/2007/PartnerControls">BLD - Residential Energy +</TermName>
          <TermId xmlns="http://schemas.microsoft.com/office/infopath/2007/PartnerControls">8baa4d84-f460-40fd-90d3-b2fd3e52be24</TermId>
        </TermInfo>
      </Terms>
    </eda3356070224fe59cf39745c882f8c6>
  </documentManagement>
</p:properties>
</file>

<file path=customXml/itemProps1.xml><?xml version="1.0" encoding="utf-8"?>
<ds:datastoreItem xmlns:ds="http://schemas.openxmlformats.org/officeDocument/2006/customXml" ds:itemID="{B4A38871-37D2-450C-B930-9334D5E23ABD}">
  <ds:schemaRefs>
    <ds:schemaRef ds:uri="http://schemas.microsoft.com/sharepoint/v3/contenttype/forms"/>
  </ds:schemaRefs>
</ds:datastoreItem>
</file>

<file path=customXml/itemProps2.xml><?xml version="1.0" encoding="utf-8"?>
<ds:datastoreItem xmlns:ds="http://schemas.openxmlformats.org/officeDocument/2006/customXml" ds:itemID="{8D6AD79E-2793-43E1-92C2-B49DB5D0BEB1}">
  <ds:schemaRefs>
    <ds:schemaRef ds:uri="Microsoft.SharePoint.Taxonomy.ContentTypeSync"/>
  </ds:schemaRefs>
</ds:datastoreItem>
</file>

<file path=customXml/itemProps3.xml><?xml version="1.0" encoding="utf-8"?>
<ds:datastoreItem xmlns:ds="http://schemas.openxmlformats.org/officeDocument/2006/customXml" ds:itemID="{96475619-04B4-47C7-823B-89D27AA81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8D280-4E8E-4FB4-894E-A0F733CDF2BF}">
  <ds:schemaRefs>
    <ds:schemaRef ds:uri="http://schemas.microsoft.com/office/2006/metadata/properties"/>
    <ds:schemaRef ds:uri="http://schemas.microsoft.com/office/infopath/2007/PartnerControls"/>
    <ds:schemaRef ds:uri="a1df9832-fa29-4d0b-8301-c5ccf72ca85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Ayyagari</dc:creator>
  <cp:keywords/>
  <dc:description/>
  <cp:lastModifiedBy>Sneha Ayyagari</cp:lastModifiedBy>
  <cp:revision>11</cp:revision>
  <dcterms:created xsi:type="dcterms:W3CDTF">2019-08-22T21:14:00Z</dcterms:created>
  <dcterms:modified xsi:type="dcterms:W3CDTF">2019-08-23T16:38:00Z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0x010100C2CFE70F12B8554A80D65BC4AE2EF6200004246E0A8545D448AFC4ACE59685184B</vt:lpwstr>
  </property>
  <property fmtid="{D5CDD505-2E9C-101B-9397-08002B2CF9AE}" pid="3" name="Technology">
    <vt:lpwstr/>
  </property>
  <property fmtid="{D5CDD505-2E9C-101B-9397-08002B2CF9AE}" pid="4" name="Client Partner">
    <vt:lpwstr/>
  </property>
  <property fmtid="{D5CDD505-2E9C-101B-9397-08002B2CF9AE}" pid="5" name="TaxKeyword">
    <vt:lpwstr/>
  </property>
  <property fmtid="{D5CDD505-2E9C-101B-9397-08002B2CF9AE}" pid="6" name="Geography">
    <vt:lpwstr/>
  </property>
  <property fmtid="{D5CDD505-2E9C-101B-9397-08002B2CF9AE}" pid="7" name="Projects">
    <vt:lpwstr>202;#City Policy|29fcb9e1-67af-4ea4-aa92-d5d2f0be98ac</vt:lpwstr>
  </property>
  <property fmtid="{D5CDD505-2E9C-101B-9397-08002B2CF9AE}" pid="8" name="Industry">
    <vt:lpwstr/>
  </property>
  <property fmtid="{D5CDD505-2E9C-101B-9397-08002B2CF9AE}" pid="9" name="Program">
    <vt:lpwstr>1;#Buildings|6d5332a4-270e-4d3f-9006-80a36a781c0d</vt:lpwstr>
  </property>
  <property fmtid="{D5CDD505-2E9C-101B-9397-08002B2CF9AE}" pid="10" name="Foundation">
    <vt:lpwstr/>
  </property>
  <property fmtid="{D5CDD505-2E9C-101B-9397-08002B2CF9AE}" pid="11" name="Initiative">
    <vt:lpwstr>2;#BLD - Residential Energy +|8baa4d84-f460-40fd-90d3-b2fd3e52be24</vt:lpwstr>
  </property>
</Properties>
</file>